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B9A" w:rsidRDefault="00811B9A" w:rsidP="00811B9A">
      <w:pPr>
        <w:jc w:val="center"/>
        <w:rPr>
          <w:rFonts w:ascii="Arial" w:hAnsi="Arial" w:cs="Arial"/>
          <w:b/>
          <w:szCs w:val="24"/>
        </w:rPr>
      </w:pPr>
      <w:bookmarkStart w:id="0" w:name="_GoBack"/>
      <w:bookmarkEnd w:id="0"/>
    </w:p>
    <w:p w:rsidR="00811B9A" w:rsidRDefault="00811B9A" w:rsidP="00811B9A">
      <w:pPr>
        <w:jc w:val="center"/>
        <w:rPr>
          <w:rFonts w:ascii="Arial" w:hAnsi="Arial" w:cs="Arial"/>
          <w:b/>
          <w:szCs w:val="24"/>
        </w:rPr>
      </w:pPr>
    </w:p>
    <w:p w:rsidR="00811B9A" w:rsidRDefault="00811B9A" w:rsidP="00811B9A">
      <w:pPr>
        <w:jc w:val="center"/>
        <w:rPr>
          <w:rFonts w:ascii="Arial" w:hAnsi="Arial" w:cs="Arial"/>
          <w:b/>
          <w:szCs w:val="24"/>
        </w:rPr>
      </w:pPr>
      <w:r>
        <w:rPr>
          <w:rFonts w:ascii="Arial" w:hAnsi="Arial" w:cs="Arial"/>
          <w:b/>
          <w:noProof/>
          <w:szCs w:val="24"/>
        </w:rPr>
        <w:drawing>
          <wp:anchor distT="0" distB="0" distL="114300" distR="114300" simplePos="0" relativeHeight="251658240" behindDoc="1" locked="0" layoutInCell="1" allowOverlap="1">
            <wp:simplePos x="0" y="0"/>
            <wp:positionH relativeFrom="column">
              <wp:posOffset>-114300</wp:posOffset>
            </wp:positionH>
            <wp:positionV relativeFrom="paragraph">
              <wp:posOffset>106680</wp:posOffset>
            </wp:positionV>
            <wp:extent cx="720000" cy="752400"/>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ppen.png"/>
                    <pic:cNvPicPr/>
                  </pic:nvPicPr>
                  <pic:blipFill>
                    <a:blip r:embed="rId5">
                      <a:extLst>
                        <a:ext uri="{28A0092B-C50C-407E-A947-70E740481C1C}">
                          <a14:useLocalDpi xmlns:a14="http://schemas.microsoft.com/office/drawing/2010/main" val="0"/>
                        </a:ext>
                      </a:extLst>
                    </a:blip>
                    <a:stretch>
                      <a:fillRect/>
                    </a:stretch>
                  </pic:blipFill>
                  <pic:spPr>
                    <a:xfrm>
                      <a:off x="0" y="0"/>
                      <a:ext cx="720000" cy="752400"/>
                    </a:xfrm>
                    <a:prstGeom prst="rect">
                      <a:avLst/>
                    </a:prstGeom>
                  </pic:spPr>
                </pic:pic>
              </a:graphicData>
            </a:graphic>
            <wp14:sizeRelH relativeFrom="margin">
              <wp14:pctWidth>0</wp14:pctWidth>
            </wp14:sizeRelH>
            <wp14:sizeRelV relativeFrom="margin">
              <wp14:pctHeight>0</wp14:pctHeight>
            </wp14:sizeRelV>
          </wp:anchor>
        </w:drawing>
      </w:r>
    </w:p>
    <w:p w:rsidR="00811B9A" w:rsidRDefault="00811B9A" w:rsidP="00811B9A">
      <w:pPr>
        <w:jc w:val="center"/>
        <w:rPr>
          <w:rFonts w:ascii="Arial" w:hAnsi="Arial" w:cs="Arial"/>
          <w:b/>
          <w:szCs w:val="24"/>
        </w:rPr>
      </w:pPr>
    </w:p>
    <w:p w:rsidR="00811B9A" w:rsidRPr="00AC0B40" w:rsidRDefault="00811B9A" w:rsidP="00811B9A">
      <w:pPr>
        <w:jc w:val="center"/>
        <w:rPr>
          <w:rFonts w:ascii="Arial" w:hAnsi="Arial" w:cs="Arial"/>
          <w:b/>
          <w:szCs w:val="24"/>
        </w:rPr>
      </w:pPr>
      <w:r w:rsidRPr="00AC0B40">
        <w:rPr>
          <w:rFonts w:ascii="Arial" w:hAnsi="Arial" w:cs="Arial"/>
          <w:b/>
          <w:szCs w:val="24"/>
        </w:rPr>
        <w:t>Öffentliche Bekanntmachung</w:t>
      </w:r>
      <w:r>
        <w:rPr>
          <w:rFonts w:ascii="Arial" w:hAnsi="Arial" w:cs="Arial"/>
          <w:b/>
          <w:szCs w:val="24"/>
        </w:rPr>
        <w:t xml:space="preserve"> </w:t>
      </w:r>
      <w:r w:rsidRPr="00AC0B40">
        <w:rPr>
          <w:rFonts w:ascii="Arial" w:hAnsi="Arial" w:cs="Arial"/>
          <w:b/>
          <w:szCs w:val="24"/>
        </w:rPr>
        <w:t>der</w:t>
      </w:r>
    </w:p>
    <w:p w:rsidR="00811B9A" w:rsidRPr="00C046E3" w:rsidRDefault="00811B9A" w:rsidP="00811B9A">
      <w:pPr>
        <w:jc w:val="center"/>
        <w:rPr>
          <w:rFonts w:ascii="Arial" w:eastAsiaTheme="minorHAnsi" w:hAnsi="Arial" w:cs="Arial"/>
          <w:b/>
          <w:szCs w:val="24"/>
          <w:lang w:eastAsia="en-US"/>
        </w:rPr>
      </w:pPr>
      <w:r w:rsidRPr="00C046E3">
        <w:rPr>
          <w:rFonts w:ascii="Arial" w:eastAsiaTheme="minorHAnsi" w:hAnsi="Arial" w:cs="Arial"/>
          <w:b/>
          <w:szCs w:val="24"/>
          <w:lang w:eastAsia="en-US"/>
        </w:rPr>
        <w:t xml:space="preserve">Haushaltssatzung </w:t>
      </w:r>
    </w:p>
    <w:p w:rsidR="00811B9A" w:rsidRPr="00C046E3" w:rsidRDefault="00811B9A" w:rsidP="00811B9A">
      <w:pPr>
        <w:jc w:val="center"/>
        <w:rPr>
          <w:rFonts w:ascii="Arial" w:eastAsiaTheme="minorHAnsi" w:hAnsi="Arial" w:cs="Arial"/>
          <w:b/>
          <w:szCs w:val="24"/>
          <w:lang w:eastAsia="en-US"/>
        </w:rPr>
      </w:pPr>
      <w:r w:rsidRPr="00C046E3">
        <w:rPr>
          <w:rFonts w:ascii="Arial" w:eastAsiaTheme="minorHAnsi" w:hAnsi="Arial" w:cs="Arial"/>
          <w:b/>
          <w:szCs w:val="24"/>
          <w:lang w:eastAsia="en-US"/>
        </w:rPr>
        <w:t xml:space="preserve">der Gemeinde </w:t>
      </w:r>
      <w:r>
        <w:rPr>
          <w:rFonts w:ascii="Arial" w:eastAsiaTheme="minorHAnsi" w:hAnsi="Arial" w:cs="Arial"/>
          <w:b/>
          <w:szCs w:val="24"/>
          <w:lang w:eastAsia="en-US"/>
        </w:rPr>
        <w:t>Kanzach</w:t>
      </w:r>
    </w:p>
    <w:p w:rsidR="00811B9A" w:rsidRDefault="00811B9A" w:rsidP="00811B9A">
      <w:pPr>
        <w:jc w:val="center"/>
        <w:rPr>
          <w:rFonts w:ascii="Arial" w:eastAsiaTheme="minorHAnsi" w:hAnsi="Arial" w:cs="Arial"/>
          <w:b/>
          <w:szCs w:val="24"/>
          <w:lang w:eastAsia="en-US"/>
        </w:rPr>
      </w:pPr>
      <w:r w:rsidRPr="00C046E3">
        <w:rPr>
          <w:rFonts w:ascii="Arial" w:eastAsiaTheme="minorHAnsi" w:hAnsi="Arial" w:cs="Arial"/>
          <w:b/>
          <w:szCs w:val="24"/>
          <w:lang w:eastAsia="en-US"/>
        </w:rPr>
        <w:t xml:space="preserve">für das Haushaltsjahr </w:t>
      </w:r>
      <w:r>
        <w:rPr>
          <w:rFonts w:ascii="Arial" w:eastAsiaTheme="minorHAnsi" w:hAnsi="Arial" w:cs="Arial"/>
          <w:b/>
          <w:szCs w:val="24"/>
          <w:lang w:eastAsia="en-US"/>
        </w:rPr>
        <w:t>2023</w:t>
      </w:r>
    </w:p>
    <w:p w:rsidR="00811B9A" w:rsidRPr="00C046E3" w:rsidRDefault="00811B9A" w:rsidP="00811B9A">
      <w:pPr>
        <w:jc w:val="center"/>
        <w:rPr>
          <w:rFonts w:ascii="Arial" w:eastAsiaTheme="minorHAnsi" w:hAnsi="Arial" w:cs="Arial"/>
          <w:b/>
          <w:szCs w:val="24"/>
          <w:lang w:eastAsia="en-US"/>
        </w:rPr>
      </w:pPr>
    </w:p>
    <w:p w:rsidR="00811B9A" w:rsidRPr="00C046E3" w:rsidRDefault="00811B9A" w:rsidP="00811B9A">
      <w:pPr>
        <w:jc w:val="center"/>
        <w:rPr>
          <w:rFonts w:ascii="Arial" w:eastAsiaTheme="minorHAnsi" w:hAnsi="Arial" w:cs="Arial"/>
          <w:b/>
          <w:szCs w:val="24"/>
          <w:lang w:eastAsia="en-US"/>
        </w:rPr>
      </w:pPr>
    </w:p>
    <w:p w:rsidR="00811B9A" w:rsidRPr="00C046E3" w:rsidRDefault="00811B9A" w:rsidP="00811B9A">
      <w:pPr>
        <w:jc w:val="center"/>
        <w:rPr>
          <w:rFonts w:ascii="Arial" w:eastAsiaTheme="minorHAnsi" w:hAnsi="Arial" w:cs="Arial"/>
          <w:b/>
          <w:szCs w:val="24"/>
          <w:lang w:eastAsia="en-US"/>
        </w:rPr>
      </w:pPr>
      <w:r w:rsidRPr="00C046E3">
        <w:rPr>
          <w:rFonts w:ascii="Arial" w:eastAsiaTheme="minorHAnsi" w:hAnsi="Arial" w:cs="Arial"/>
          <w:b/>
          <w:szCs w:val="24"/>
          <w:lang w:eastAsia="en-US"/>
        </w:rPr>
        <w:t>Auf Grund von § 79 der Gemeindeordnung für Baden-Württemberg hat der Gemeinderat</w:t>
      </w:r>
      <w:r>
        <w:rPr>
          <w:rFonts w:ascii="Arial" w:eastAsiaTheme="minorHAnsi" w:hAnsi="Arial" w:cs="Arial"/>
          <w:b/>
          <w:szCs w:val="24"/>
          <w:lang w:eastAsia="en-US"/>
        </w:rPr>
        <w:t xml:space="preserve"> </w:t>
      </w:r>
      <w:r w:rsidRPr="00C046E3">
        <w:rPr>
          <w:rFonts w:ascii="Arial" w:eastAsiaTheme="minorHAnsi" w:hAnsi="Arial" w:cs="Arial"/>
          <w:b/>
          <w:szCs w:val="24"/>
          <w:lang w:eastAsia="en-US"/>
        </w:rPr>
        <w:t xml:space="preserve">am </w:t>
      </w:r>
      <w:r>
        <w:rPr>
          <w:rFonts w:ascii="Arial" w:eastAsiaTheme="minorHAnsi" w:hAnsi="Arial" w:cs="Arial"/>
          <w:b/>
          <w:szCs w:val="24"/>
          <w:lang w:eastAsia="en-US"/>
        </w:rPr>
        <w:t>13.03.2023</w:t>
      </w:r>
    </w:p>
    <w:p w:rsidR="00811B9A" w:rsidRPr="00C046E3" w:rsidRDefault="00811B9A" w:rsidP="00811B9A">
      <w:pPr>
        <w:jc w:val="center"/>
        <w:rPr>
          <w:rFonts w:ascii="Arial" w:eastAsiaTheme="minorHAnsi" w:hAnsi="Arial" w:cs="Arial"/>
          <w:b/>
          <w:szCs w:val="24"/>
          <w:lang w:eastAsia="en-US"/>
        </w:rPr>
      </w:pPr>
      <w:r w:rsidRPr="00C046E3">
        <w:rPr>
          <w:rFonts w:ascii="Arial" w:eastAsiaTheme="minorHAnsi" w:hAnsi="Arial" w:cs="Arial"/>
          <w:b/>
          <w:szCs w:val="24"/>
          <w:lang w:eastAsia="en-US"/>
        </w:rPr>
        <w:t xml:space="preserve"> die folgende Haushaltssatzung für das Haushaltsjahr </w:t>
      </w:r>
      <w:r>
        <w:rPr>
          <w:rFonts w:ascii="Arial" w:eastAsiaTheme="minorHAnsi" w:hAnsi="Arial" w:cs="Arial"/>
          <w:b/>
          <w:szCs w:val="24"/>
          <w:lang w:eastAsia="en-US"/>
        </w:rPr>
        <w:t>2023</w:t>
      </w:r>
    </w:p>
    <w:p w:rsidR="00811B9A" w:rsidRPr="00C046E3" w:rsidRDefault="00811B9A" w:rsidP="00811B9A">
      <w:pPr>
        <w:jc w:val="center"/>
        <w:rPr>
          <w:rFonts w:ascii="Arial" w:eastAsiaTheme="minorHAnsi" w:hAnsi="Arial" w:cs="Arial"/>
          <w:b/>
          <w:szCs w:val="24"/>
          <w:lang w:eastAsia="en-US"/>
        </w:rPr>
      </w:pPr>
      <w:r w:rsidRPr="00C046E3">
        <w:rPr>
          <w:rFonts w:ascii="Arial" w:eastAsiaTheme="minorHAnsi" w:hAnsi="Arial" w:cs="Arial"/>
          <w:b/>
          <w:szCs w:val="24"/>
          <w:lang w:eastAsia="en-US"/>
        </w:rPr>
        <w:t>beschlossen:</w:t>
      </w:r>
    </w:p>
    <w:p w:rsidR="00811B9A" w:rsidRPr="00C046E3" w:rsidRDefault="00811B9A" w:rsidP="00811B9A">
      <w:pPr>
        <w:jc w:val="center"/>
        <w:rPr>
          <w:rFonts w:ascii="Arial" w:eastAsiaTheme="minorHAnsi" w:hAnsi="Arial" w:cs="Arial"/>
          <w:b/>
          <w:szCs w:val="24"/>
          <w:lang w:eastAsia="en-US"/>
        </w:rPr>
      </w:pPr>
    </w:p>
    <w:p w:rsidR="00811B9A" w:rsidRPr="00C046E3" w:rsidRDefault="00811B9A" w:rsidP="00811B9A">
      <w:pPr>
        <w:jc w:val="center"/>
        <w:rPr>
          <w:rFonts w:ascii="Arial" w:eastAsiaTheme="minorHAnsi" w:hAnsi="Arial" w:cs="Arial"/>
          <w:b/>
          <w:szCs w:val="24"/>
          <w:lang w:eastAsia="en-US"/>
        </w:rPr>
      </w:pPr>
      <w:r w:rsidRPr="00C046E3">
        <w:rPr>
          <w:rFonts w:ascii="Arial" w:eastAsiaTheme="minorHAnsi" w:hAnsi="Arial" w:cs="Arial"/>
          <w:b/>
          <w:bCs/>
          <w:szCs w:val="24"/>
          <w:lang w:eastAsia="en-US"/>
        </w:rPr>
        <w:t>§ 1 Ergebnishaushalt und Finanzhaushalt</w:t>
      </w:r>
    </w:p>
    <w:p w:rsidR="00811B9A" w:rsidRPr="00C046E3" w:rsidRDefault="00811B9A" w:rsidP="00811B9A">
      <w:pPr>
        <w:jc w:val="center"/>
        <w:rPr>
          <w:rFonts w:ascii="Arial" w:eastAsiaTheme="minorHAnsi" w:hAnsi="Arial" w:cs="Arial"/>
          <w:b/>
          <w:szCs w:val="24"/>
          <w:lang w:eastAsia="en-US"/>
        </w:rPr>
      </w:pPr>
    </w:p>
    <w:p w:rsidR="00811B9A" w:rsidRPr="00C046E3" w:rsidRDefault="00811B9A" w:rsidP="00811B9A">
      <w:pPr>
        <w:rPr>
          <w:rFonts w:ascii="Arial" w:eastAsiaTheme="minorHAnsi" w:hAnsi="Arial" w:cs="Arial"/>
          <w:szCs w:val="24"/>
          <w:lang w:eastAsia="en-US"/>
        </w:rPr>
      </w:pPr>
    </w:p>
    <w:p w:rsidR="00811B9A" w:rsidRPr="00C046E3" w:rsidRDefault="00811B9A" w:rsidP="00811B9A">
      <w:pPr>
        <w:rPr>
          <w:rFonts w:ascii="Arial" w:eastAsiaTheme="minorHAnsi" w:hAnsi="Arial" w:cs="Arial"/>
          <w:szCs w:val="24"/>
          <w:lang w:eastAsia="en-US"/>
        </w:rPr>
      </w:pPr>
    </w:p>
    <w:tbl>
      <w:tblPr>
        <w:tblStyle w:val="Tabellenraster1"/>
        <w:tblW w:w="9870" w:type="dxa"/>
        <w:tblLook w:val="04A0" w:firstRow="1" w:lastRow="0" w:firstColumn="1" w:lastColumn="0" w:noHBand="0" w:noVBand="1"/>
      </w:tblPr>
      <w:tblGrid>
        <w:gridCol w:w="8359"/>
        <w:gridCol w:w="1511"/>
      </w:tblGrid>
      <w:tr w:rsidR="00811B9A" w:rsidRPr="004C62A2" w:rsidTr="00F04170">
        <w:trPr>
          <w:trHeight w:val="261"/>
        </w:trPr>
        <w:tc>
          <w:tcPr>
            <w:tcW w:w="8359" w:type="dxa"/>
            <w:noWrap/>
            <w:hideMark/>
          </w:tcPr>
          <w:p w:rsidR="00811B9A" w:rsidRPr="004C62A2" w:rsidRDefault="00811B9A" w:rsidP="00F04170">
            <w:r w:rsidRPr="004C62A2">
              <w:t>Der Haushaltsplan wird festgesetzt</w:t>
            </w:r>
          </w:p>
        </w:tc>
        <w:tc>
          <w:tcPr>
            <w:tcW w:w="1511" w:type="dxa"/>
            <w:noWrap/>
            <w:hideMark/>
          </w:tcPr>
          <w:p w:rsidR="00811B9A" w:rsidRPr="004C62A2" w:rsidRDefault="00811B9A" w:rsidP="00F04170">
            <w:pPr>
              <w:jc w:val="right"/>
            </w:pPr>
          </w:p>
        </w:tc>
      </w:tr>
      <w:tr w:rsidR="00811B9A" w:rsidRPr="004C62A2" w:rsidTr="00F04170">
        <w:trPr>
          <w:trHeight w:val="261"/>
        </w:trPr>
        <w:tc>
          <w:tcPr>
            <w:tcW w:w="8359" w:type="dxa"/>
            <w:noWrap/>
            <w:hideMark/>
          </w:tcPr>
          <w:p w:rsidR="00811B9A" w:rsidRPr="004C62A2" w:rsidRDefault="00811B9A" w:rsidP="00F04170">
            <w:pPr>
              <w:rPr>
                <w:b/>
                <w:bCs/>
              </w:rPr>
            </w:pPr>
            <w:r w:rsidRPr="004C62A2">
              <w:rPr>
                <w:b/>
                <w:bCs/>
              </w:rPr>
              <w:t>1. im Ergebnishaushalt mit den folgenden Beträgen (EUR)</w:t>
            </w:r>
          </w:p>
        </w:tc>
        <w:tc>
          <w:tcPr>
            <w:tcW w:w="1511" w:type="dxa"/>
            <w:noWrap/>
            <w:hideMark/>
          </w:tcPr>
          <w:p w:rsidR="00811B9A" w:rsidRPr="004C62A2" w:rsidRDefault="00811B9A" w:rsidP="00F04170">
            <w:pPr>
              <w:jc w:val="right"/>
              <w:rPr>
                <w:b/>
                <w:bCs/>
              </w:rPr>
            </w:pPr>
          </w:p>
        </w:tc>
      </w:tr>
      <w:tr w:rsidR="00811B9A" w:rsidRPr="004C62A2" w:rsidTr="00F04170">
        <w:trPr>
          <w:trHeight w:val="261"/>
        </w:trPr>
        <w:tc>
          <w:tcPr>
            <w:tcW w:w="8359" w:type="dxa"/>
            <w:noWrap/>
            <w:hideMark/>
          </w:tcPr>
          <w:p w:rsidR="00811B9A" w:rsidRPr="004C62A2" w:rsidRDefault="00811B9A" w:rsidP="00F04170">
            <w:r w:rsidRPr="004C62A2">
              <w:t>1.1 Gesamtbetrag der ordentlichen Erträge von</w:t>
            </w:r>
          </w:p>
        </w:tc>
        <w:tc>
          <w:tcPr>
            <w:tcW w:w="1511" w:type="dxa"/>
            <w:noWrap/>
            <w:hideMark/>
          </w:tcPr>
          <w:p w:rsidR="00811B9A" w:rsidRPr="004C62A2" w:rsidRDefault="00811B9A" w:rsidP="00F04170">
            <w:pPr>
              <w:jc w:val="right"/>
            </w:pPr>
            <w:r w:rsidRPr="004C62A2">
              <w:t>1.313.790</w:t>
            </w:r>
          </w:p>
        </w:tc>
      </w:tr>
      <w:tr w:rsidR="00811B9A" w:rsidRPr="004C62A2" w:rsidTr="00F04170">
        <w:trPr>
          <w:trHeight w:val="261"/>
        </w:trPr>
        <w:tc>
          <w:tcPr>
            <w:tcW w:w="8359" w:type="dxa"/>
            <w:noWrap/>
            <w:hideMark/>
          </w:tcPr>
          <w:p w:rsidR="00811B9A" w:rsidRPr="004C62A2" w:rsidRDefault="00811B9A" w:rsidP="00F04170">
            <w:r w:rsidRPr="004C62A2">
              <w:t>1.2 Gesamtbetrag der ordentlichen Aufwendungen von</w:t>
            </w:r>
          </w:p>
        </w:tc>
        <w:tc>
          <w:tcPr>
            <w:tcW w:w="1511" w:type="dxa"/>
            <w:noWrap/>
            <w:hideMark/>
          </w:tcPr>
          <w:p w:rsidR="00811B9A" w:rsidRPr="004C62A2" w:rsidRDefault="00811B9A" w:rsidP="00F04170">
            <w:pPr>
              <w:jc w:val="right"/>
            </w:pPr>
            <w:r w:rsidRPr="004C62A2">
              <w:t>-1.400.950</w:t>
            </w:r>
          </w:p>
        </w:tc>
      </w:tr>
      <w:tr w:rsidR="00811B9A" w:rsidRPr="004C62A2" w:rsidTr="00F04170">
        <w:trPr>
          <w:trHeight w:val="261"/>
        </w:trPr>
        <w:tc>
          <w:tcPr>
            <w:tcW w:w="8359" w:type="dxa"/>
            <w:noWrap/>
            <w:hideMark/>
          </w:tcPr>
          <w:p w:rsidR="00811B9A" w:rsidRPr="004C62A2" w:rsidRDefault="00811B9A" w:rsidP="00F04170">
            <w:pPr>
              <w:rPr>
                <w:b/>
                <w:bCs/>
              </w:rPr>
            </w:pPr>
            <w:r w:rsidRPr="004C62A2">
              <w:rPr>
                <w:b/>
                <w:bCs/>
              </w:rPr>
              <w:t>1.3 Veranschlagtes Ordentliches Ergebnis Saldo aus 1.1 und 1.2) von</w:t>
            </w:r>
          </w:p>
        </w:tc>
        <w:tc>
          <w:tcPr>
            <w:tcW w:w="1511" w:type="dxa"/>
            <w:noWrap/>
            <w:hideMark/>
          </w:tcPr>
          <w:p w:rsidR="00811B9A" w:rsidRPr="004C62A2" w:rsidRDefault="00811B9A" w:rsidP="00F04170">
            <w:pPr>
              <w:jc w:val="right"/>
              <w:rPr>
                <w:b/>
                <w:bCs/>
              </w:rPr>
            </w:pPr>
            <w:r w:rsidRPr="004C62A2">
              <w:rPr>
                <w:b/>
                <w:bCs/>
              </w:rPr>
              <w:t>-87.160</w:t>
            </w:r>
          </w:p>
        </w:tc>
      </w:tr>
      <w:tr w:rsidR="00811B9A" w:rsidRPr="004C62A2" w:rsidTr="00F04170">
        <w:trPr>
          <w:trHeight w:val="261"/>
        </w:trPr>
        <w:tc>
          <w:tcPr>
            <w:tcW w:w="8359" w:type="dxa"/>
            <w:noWrap/>
            <w:hideMark/>
          </w:tcPr>
          <w:p w:rsidR="00811B9A" w:rsidRPr="004C62A2" w:rsidRDefault="00811B9A" w:rsidP="00F04170">
            <w:r w:rsidRPr="004C62A2">
              <w:t>1.4 Gesamtbetrag der außerordentlichen Erträge von</w:t>
            </w:r>
          </w:p>
        </w:tc>
        <w:tc>
          <w:tcPr>
            <w:tcW w:w="1511" w:type="dxa"/>
            <w:noWrap/>
            <w:hideMark/>
          </w:tcPr>
          <w:p w:rsidR="00811B9A" w:rsidRPr="004C62A2" w:rsidRDefault="00811B9A" w:rsidP="00F04170">
            <w:pPr>
              <w:jc w:val="right"/>
            </w:pPr>
            <w:r w:rsidRPr="004C62A2">
              <w:t>-0-</w:t>
            </w:r>
          </w:p>
        </w:tc>
      </w:tr>
      <w:tr w:rsidR="00811B9A" w:rsidRPr="004C62A2" w:rsidTr="00F04170">
        <w:trPr>
          <w:trHeight w:val="261"/>
        </w:trPr>
        <w:tc>
          <w:tcPr>
            <w:tcW w:w="8359" w:type="dxa"/>
            <w:noWrap/>
            <w:hideMark/>
          </w:tcPr>
          <w:p w:rsidR="00811B9A" w:rsidRPr="004C62A2" w:rsidRDefault="00811B9A" w:rsidP="00F04170">
            <w:r w:rsidRPr="004C62A2">
              <w:t>1.5 Gesamtbetrag der außerordentlichen Aufwendungen von</w:t>
            </w:r>
          </w:p>
        </w:tc>
        <w:tc>
          <w:tcPr>
            <w:tcW w:w="1511" w:type="dxa"/>
            <w:noWrap/>
            <w:hideMark/>
          </w:tcPr>
          <w:p w:rsidR="00811B9A" w:rsidRPr="004C62A2" w:rsidRDefault="00811B9A" w:rsidP="00F04170">
            <w:pPr>
              <w:jc w:val="right"/>
            </w:pPr>
            <w:r w:rsidRPr="004C62A2">
              <w:t>-0-</w:t>
            </w:r>
          </w:p>
        </w:tc>
      </w:tr>
      <w:tr w:rsidR="00811B9A" w:rsidRPr="004C62A2" w:rsidTr="00F04170">
        <w:trPr>
          <w:trHeight w:val="261"/>
        </w:trPr>
        <w:tc>
          <w:tcPr>
            <w:tcW w:w="8359" w:type="dxa"/>
            <w:noWrap/>
            <w:hideMark/>
          </w:tcPr>
          <w:p w:rsidR="00811B9A" w:rsidRPr="004C62A2" w:rsidRDefault="00811B9A" w:rsidP="00F04170">
            <w:pPr>
              <w:rPr>
                <w:b/>
                <w:bCs/>
              </w:rPr>
            </w:pPr>
            <w:r w:rsidRPr="004C62A2">
              <w:rPr>
                <w:b/>
                <w:bCs/>
              </w:rPr>
              <w:t>1.6 Veranschlagtes Sonderergebnis (Saldo aus 1.4 und 1.5) von</w:t>
            </w:r>
          </w:p>
        </w:tc>
        <w:tc>
          <w:tcPr>
            <w:tcW w:w="1511" w:type="dxa"/>
            <w:noWrap/>
            <w:hideMark/>
          </w:tcPr>
          <w:p w:rsidR="00811B9A" w:rsidRPr="004C62A2" w:rsidRDefault="00811B9A" w:rsidP="00F04170">
            <w:pPr>
              <w:jc w:val="right"/>
              <w:rPr>
                <w:b/>
                <w:bCs/>
              </w:rPr>
            </w:pPr>
            <w:r w:rsidRPr="004C62A2">
              <w:rPr>
                <w:b/>
                <w:bCs/>
              </w:rPr>
              <w:t>-0-</w:t>
            </w:r>
          </w:p>
        </w:tc>
      </w:tr>
      <w:tr w:rsidR="00811B9A" w:rsidRPr="004C62A2" w:rsidTr="00F04170">
        <w:trPr>
          <w:trHeight w:val="261"/>
        </w:trPr>
        <w:tc>
          <w:tcPr>
            <w:tcW w:w="8359" w:type="dxa"/>
            <w:noWrap/>
            <w:hideMark/>
          </w:tcPr>
          <w:p w:rsidR="00811B9A" w:rsidRPr="004C62A2" w:rsidRDefault="00811B9A" w:rsidP="00F04170">
            <w:pPr>
              <w:rPr>
                <w:b/>
                <w:bCs/>
              </w:rPr>
            </w:pPr>
            <w:r w:rsidRPr="004C62A2">
              <w:rPr>
                <w:b/>
                <w:bCs/>
              </w:rPr>
              <w:t>1.7 Veranschlagtes Gesamtergebnis (Summe aus 1.3 und 1.6)</w:t>
            </w:r>
          </w:p>
        </w:tc>
        <w:tc>
          <w:tcPr>
            <w:tcW w:w="1511" w:type="dxa"/>
            <w:noWrap/>
            <w:hideMark/>
          </w:tcPr>
          <w:p w:rsidR="00811B9A" w:rsidRPr="004C62A2" w:rsidRDefault="00811B9A" w:rsidP="00F04170">
            <w:pPr>
              <w:jc w:val="right"/>
              <w:rPr>
                <w:b/>
                <w:bCs/>
              </w:rPr>
            </w:pPr>
            <w:r w:rsidRPr="004C62A2">
              <w:rPr>
                <w:b/>
                <w:bCs/>
              </w:rPr>
              <w:t>-87.160</w:t>
            </w:r>
          </w:p>
        </w:tc>
      </w:tr>
      <w:tr w:rsidR="00811B9A" w:rsidRPr="004C62A2" w:rsidTr="00F04170">
        <w:trPr>
          <w:trHeight w:val="261"/>
        </w:trPr>
        <w:tc>
          <w:tcPr>
            <w:tcW w:w="8359" w:type="dxa"/>
            <w:noWrap/>
            <w:hideMark/>
          </w:tcPr>
          <w:p w:rsidR="00811B9A" w:rsidRPr="004C62A2" w:rsidRDefault="00811B9A" w:rsidP="00F04170">
            <w:pPr>
              <w:rPr>
                <w:b/>
                <w:bCs/>
              </w:rPr>
            </w:pPr>
            <w:r w:rsidRPr="004C62A2">
              <w:rPr>
                <w:b/>
                <w:bCs/>
              </w:rPr>
              <w:t>2. im Finanzhaushalt mit den folgenden Beträgen</w:t>
            </w:r>
          </w:p>
        </w:tc>
        <w:tc>
          <w:tcPr>
            <w:tcW w:w="1511" w:type="dxa"/>
            <w:noWrap/>
            <w:hideMark/>
          </w:tcPr>
          <w:p w:rsidR="00811B9A" w:rsidRPr="004C62A2" w:rsidRDefault="00811B9A" w:rsidP="00F04170">
            <w:pPr>
              <w:jc w:val="right"/>
              <w:rPr>
                <w:b/>
                <w:bCs/>
              </w:rPr>
            </w:pPr>
          </w:p>
        </w:tc>
      </w:tr>
      <w:tr w:rsidR="00811B9A" w:rsidRPr="004C62A2" w:rsidTr="00F04170">
        <w:trPr>
          <w:trHeight w:val="261"/>
        </w:trPr>
        <w:tc>
          <w:tcPr>
            <w:tcW w:w="8359" w:type="dxa"/>
            <w:noWrap/>
            <w:hideMark/>
          </w:tcPr>
          <w:p w:rsidR="00811B9A" w:rsidRPr="004C62A2" w:rsidRDefault="00811B9A" w:rsidP="00F04170">
            <w:r w:rsidRPr="004C62A2">
              <w:t>2.1 Gesamtbetrag der Einzahlungen aus laufender Verwaltungstätigkeit von</w:t>
            </w:r>
          </w:p>
        </w:tc>
        <w:tc>
          <w:tcPr>
            <w:tcW w:w="1511" w:type="dxa"/>
            <w:noWrap/>
            <w:hideMark/>
          </w:tcPr>
          <w:p w:rsidR="00811B9A" w:rsidRPr="004C62A2" w:rsidRDefault="00811B9A" w:rsidP="00F04170">
            <w:pPr>
              <w:jc w:val="right"/>
            </w:pPr>
            <w:r w:rsidRPr="004C62A2">
              <w:t>1.130.600</w:t>
            </w:r>
          </w:p>
        </w:tc>
      </w:tr>
      <w:tr w:rsidR="00811B9A" w:rsidRPr="004C62A2" w:rsidTr="00F04170">
        <w:trPr>
          <w:trHeight w:val="261"/>
        </w:trPr>
        <w:tc>
          <w:tcPr>
            <w:tcW w:w="8359" w:type="dxa"/>
            <w:noWrap/>
            <w:hideMark/>
          </w:tcPr>
          <w:p w:rsidR="00811B9A" w:rsidRPr="004C62A2" w:rsidRDefault="00811B9A" w:rsidP="00F04170">
            <w:r w:rsidRPr="004C62A2">
              <w:t>2.2 Gesamtbetrag der Auszahlungen aus laufender Verwaltungstätigkeit von</w:t>
            </w:r>
          </w:p>
        </w:tc>
        <w:tc>
          <w:tcPr>
            <w:tcW w:w="1511" w:type="dxa"/>
            <w:noWrap/>
            <w:hideMark/>
          </w:tcPr>
          <w:p w:rsidR="00811B9A" w:rsidRPr="004C62A2" w:rsidRDefault="00811B9A" w:rsidP="00F04170">
            <w:pPr>
              <w:jc w:val="right"/>
            </w:pPr>
            <w:r w:rsidRPr="004C62A2">
              <w:t>-1.120.460</w:t>
            </w:r>
          </w:p>
        </w:tc>
      </w:tr>
      <w:tr w:rsidR="00811B9A" w:rsidRPr="004C62A2" w:rsidTr="00F04170">
        <w:trPr>
          <w:trHeight w:val="261"/>
        </w:trPr>
        <w:tc>
          <w:tcPr>
            <w:tcW w:w="8359" w:type="dxa"/>
            <w:noWrap/>
            <w:hideMark/>
          </w:tcPr>
          <w:p w:rsidR="00811B9A" w:rsidRPr="004C62A2" w:rsidRDefault="00811B9A" w:rsidP="00F04170">
            <w:pPr>
              <w:rPr>
                <w:b/>
                <w:bCs/>
              </w:rPr>
            </w:pPr>
            <w:r w:rsidRPr="004C62A2">
              <w:rPr>
                <w:b/>
                <w:bCs/>
              </w:rPr>
              <w:t>2.3 Zahlungsmittelüberschuss /-bedarf des Ergebnishaushalts</w:t>
            </w:r>
          </w:p>
          <w:p w:rsidR="00811B9A" w:rsidRPr="004C62A2" w:rsidRDefault="00811B9A" w:rsidP="00F04170">
            <w:pPr>
              <w:rPr>
                <w:b/>
                <w:bCs/>
              </w:rPr>
            </w:pPr>
            <w:r w:rsidRPr="004C62A2">
              <w:rPr>
                <w:b/>
                <w:bCs/>
              </w:rPr>
              <w:t>(Saldo aus 2.1 und 2.2) von</w:t>
            </w:r>
          </w:p>
        </w:tc>
        <w:tc>
          <w:tcPr>
            <w:tcW w:w="1511" w:type="dxa"/>
            <w:noWrap/>
            <w:hideMark/>
          </w:tcPr>
          <w:p w:rsidR="00811B9A" w:rsidRPr="004C62A2" w:rsidRDefault="00811B9A" w:rsidP="00F04170">
            <w:pPr>
              <w:jc w:val="right"/>
              <w:rPr>
                <w:b/>
                <w:bCs/>
              </w:rPr>
            </w:pPr>
            <w:r w:rsidRPr="004C62A2">
              <w:rPr>
                <w:b/>
                <w:bCs/>
              </w:rPr>
              <w:t>10.140</w:t>
            </w:r>
          </w:p>
        </w:tc>
      </w:tr>
      <w:tr w:rsidR="00811B9A" w:rsidRPr="004C62A2" w:rsidTr="00F04170">
        <w:trPr>
          <w:trHeight w:val="261"/>
        </w:trPr>
        <w:tc>
          <w:tcPr>
            <w:tcW w:w="8359" w:type="dxa"/>
            <w:noWrap/>
            <w:hideMark/>
          </w:tcPr>
          <w:p w:rsidR="00811B9A" w:rsidRPr="004C62A2" w:rsidRDefault="00811B9A" w:rsidP="00F04170">
            <w:r w:rsidRPr="004C62A2">
              <w:t>2.4 Gesamtbetrag der Einzahlungen aus Investitionstätigkeit von</w:t>
            </w:r>
          </w:p>
        </w:tc>
        <w:tc>
          <w:tcPr>
            <w:tcW w:w="1511" w:type="dxa"/>
            <w:noWrap/>
            <w:hideMark/>
          </w:tcPr>
          <w:p w:rsidR="00811B9A" w:rsidRPr="004C62A2" w:rsidRDefault="00811B9A" w:rsidP="00F04170">
            <w:pPr>
              <w:jc w:val="right"/>
            </w:pPr>
            <w:r w:rsidRPr="004C62A2">
              <w:t>291.170</w:t>
            </w:r>
          </w:p>
        </w:tc>
      </w:tr>
      <w:tr w:rsidR="00811B9A" w:rsidRPr="004C62A2" w:rsidTr="00F04170">
        <w:trPr>
          <w:trHeight w:val="261"/>
        </w:trPr>
        <w:tc>
          <w:tcPr>
            <w:tcW w:w="8359" w:type="dxa"/>
            <w:noWrap/>
            <w:hideMark/>
          </w:tcPr>
          <w:p w:rsidR="00811B9A" w:rsidRPr="004C62A2" w:rsidRDefault="00811B9A" w:rsidP="00F04170">
            <w:r w:rsidRPr="004C62A2">
              <w:t>2.5 Gesamtbetrag der Auszahlungen aus Investitionstätigkeit von</w:t>
            </w:r>
          </w:p>
        </w:tc>
        <w:tc>
          <w:tcPr>
            <w:tcW w:w="1511" w:type="dxa"/>
            <w:noWrap/>
            <w:hideMark/>
          </w:tcPr>
          <w:p w:rsidR="00811B9A" w:rsidRPr="004C62A2" w:rsidRDefault="00811B9A" w:rsidP="00F04170">
            <w:pPr>
              <w:jc w:val="right"/>
            </w:pPr>
            <w:r w:rsidRPr="004C62A2">
              <w:t>-721.500</w:t>
            </w:r>
          </w:p>
        </w:tc>
      </w:tr>
      <w:tr w:rsidR="00811B9A" w:rsidRPr="004C62A2" w:rsidTr="00F04170">
        <w:trPr>
          <w:trHeight w:val="261"/>
        </w:trPr>
        <w:tc>
          <w:tcPr>
            <w:tcW w:w="8359" w:type="dxa"/>
            <w:noWrap/>
            <w:hideMark/>
          </w:tcPr>
          <w:p w:rsidR="00811B9A" w:rsidRPr="004C62A2" w:rsidRDefault="00811B9A" w:rsidP="00F04170">
            <w:pPr>
              <w:rPr>
                <w:b/>
                <w:bCs/>
              </w:rPr>
            </w:pPr>
            <w:r w:rsidRPr="004C62A2">
              <w:rPr>
                <w:b/>
                <w:bCs/>
              </w:rPr>
              <w:t>2.6 Veranschlagter Finanzierungsmittelüberschuss /-bedarf aus</w:t>
            </w:r>
          </w:p>
          <w:p w:rsidR="00811B9A" w:rsidRPr="004C62A2" w:rsidRDefault="00811B9A" w:rsidP="00F04170">
            <w:pPr>
              <w:rPr>
                <w:b/>
                <w:bCs/>
              </w:rPr>
            </w:pPr>
            <w:r w:rsidRPr="004C62A2">
              <w:rPr>
                <w:b/>
                <w:bCs/>
              </w:rPr>
              <w:t>Investitionstätigkeit (Saldo aus 2.4 und 2.5) von</w:t>
            </w:r>
          </w:p>
        </w:tc>
        <w:tc>
          <w:tcPr>
            <w:tcW w:w="1511" w:type="dxa"/>
            <w:noWrap/>
            <w:hideMark/>
          </w:tcPr>
          <w:p w:rsidR="00811B9A" w:rsidRPr="004C62A2" w:rsidRDefault="00811B9A" w:rsidP="00F04170">
            <w:pPr>
              <w:jc w:val="right"/>
              <w:rPr>
                <w:b/>
                <w:bCs/>
              </w:rPr>
            </w:pPr>
            <w:r w:rsidRPr="004C62A2">
              <w:rPr>
                <w:b/>
                <w:bCs/>
              </w:rPr>
              <w:t>-430.330</w:t>
            </w:r>
          </w:p>
        </w:tc>
      </w:tr>
      <w:tr w:rsidR="00811B9A" w:rsidRPr="004C62A2" w:rsidTr="00F04170">
        <w:trPr>
          <w:trHeight w:val="261"/>
        </w:trPr>
        <w:tc>
          <w:tcPr>
            <w:tcW w:w="8359" w:type="dxa"/>
            <w:noWrap/>
            <w:hideMark/>
          </w:tcPr>
          <w:p w:rsidR="00811B9A" w:rsidRPr="004C62A2" w:rsidRDefault="00811B9A" w:rsidP="00F04170">
            <w:pPr>
              <w:rPr>
                <w:b/>
                <w:bCs/>
              </w:rPr>
            </w:pPr>
            <w:r w:rsidRPr="004C62A2">
              <w:rPr>
                <w:b/>
                <w:bCs/>
              </w:rPr>
              <w:t>2.7 Veranschlagter Finanzierungsmittelüberschuss /-bedarf</w:t>
            </w:r>
          </w:p>
          <w:p w:rsidR="00811B9A" w:rsidRPr="004C62A2" w:rsidRDefault="00811B9A" w:rsidP="00F04170">
            <w:pPr>
              <w:rPr>
                <w:b/>
                <w:bCs/>
              </w:rPr>
            </w:pPr>
            <w:r w:rsidRPr="004C62A2">
              <w:rPr>
                <w:b/>
                <w:bCs/>
              </w:rPr>
              <w:t>(Saldo aus 2.3 und 2.6) von</w:t>
            </w:r>
          </w:p>
        </w:tc>
        <w:tc>
          <w:tcPr>
            <w:tcW w:w="1511" w:type="dxa"/>
            <w:noWrap/>
            <w:hideMark/>
          </w:tcPr>
          <w:p w:rsidR="00811B9A" w:rsidRPr="004C62A2" w:rsidRDefault="00811B9A" w:rsidP="00F04170">
            <w:pPr>
              <w:jc w:val="right"/>
              <w:rPr>
                <w:b/>
                <w:bCs/>
              </w:rPr>
            </w:pPr>
            <w:r w:rsidRPr="004C62A2">
              <w:rPr>
                <w:b/>
                <w:bCs/>
              </w:rPr>
              <w:t>-420.190</w:t>
            </w:r>
          </w:p>
        </w:tc>
      </w:tr>
      <w:tr w:rsidR="00811B9A" w:rsidRPr="004C62A2" w:rsidTr="00F04170">
        <w:trPr>
          <w:trHeight w:val="261"/>
        </w:trPr>
        <w:tc>
          <w:tcPr>
            <w:tcW w:w="8359" w:type="dxa"/>
            <w:noWrap/>
            <w:hideMark/>
          </w:tcPr>
          <w:p w:rsidR="00811B9A" w:rsidRPr="004C62A2" w:rsidRDefault="00811B9A" w:rsidP="00F04170">
            <w:r w:rsidRPr="004C62A2">
              <w:t>2.8 Gesamtbetrag der Einzahlungen aus Finanzierungstätigkeit von</w:t>
            </w:r>
          </w:p>
        </w:tc>
        <w:tc>
          <w:tcPr>
            <w:tcW w:w="1511" w:type="dxa"/>
            <w:noWrap/>
            <w:hideMark/>
          </w:tcPr>
          <w:p w:rsidR="00811B9A" w:rsidRPr="004C62A2" w:rsidRDefault="00811B9A" w:rsidP="00F04170">
            <w:pPr>
              <w:jc w:val="right"/>
            </w:pPr>
            <w:r w:rsidRPr="004C62A2">
              <w:t>-0-</w:t>
            </w:r>
          </w:p>
        </w:tc>
      </w:tr>
      <w:tr w:rsidR="00811B9A" w:rsidRPr="004C62A2" w:rsidTr="00F04170">
        <w:trPr>
          <w:trHeight w:val="261"/>
        </w:trPr>
        <w:tc>
          <w:tcPr>
            <w:tcW w:w="8359" w:type="dxa"/>
            <w:noWrap/>
            <w:hideMark/>
          </w:tcPr>
          <w:p w:rsidR="00811B9A" w:rsidRPr="004C62A2" w:rsidRDefault="00811B9A" w:rsidP="00F04170">
            <w:r w:rsidRPr="004C62A2">
              <w:t>2.9 Gesamtbetrag der Auszahlungen aus Finanzierungstätigkeit von</w:t>
            </w:r>
          </w:p>
        </w:tc>
        <w:tc>
          <w:tcPr>
            <w:tcW w:w="1511" w:type="dxa"/>
            <w:noWrap/>
            <w:hideMark/>
          </w:tcPr>
          <w:p w:rsidR="00811B9A" w:rsidRPr="004C62A2" w:rsidRDefault="00811B9A" w:rsidP="00F04170">
            <w:pPr>
              <w:jc w:val="right"/>
            </w:pPr>
            <w:r w:rsidRPr="004C62A2">
              <w:t>-0-</w:t>
            </w:r>
          </w:p>
        </w:tc>
      </w:tr>
      <w:tr w:rsidR="00811B9A" w:rsidRPr="004C62A2" w:rsidTr="00F04170">
        <w:trPr>
          <w:trHeight w:val="261"/>
        </w:trPr>
        <w:tc>
          <w:tcPr>
            <w:tcW w:w="8359" w:type="dxa"/>
            <w:noWrap/>
            <w:hideMark/>
          </w:tcPr>
          <w:p w:rsidR="00811B9A" w:rsidRPr="004C62A2" w:rsidRDefault="00811B9A" w:rsidP="00F04170">
            <w:pPr>
              <w:rPr>
                <w:b/>
                <w:bCs/>
              </w:rPr>
            </w:pPr>
            <w:r w:rsidRPr="004C62A2">
              <w:rPr>
                <w:b/>
                <w:bCs/>
              </w:rPr>
              <w:t>2.10 Veranschlagter Finanzierungsmittelüberschuss /-bedarf aus</w:t>
            </w:r>
          </w:p>
          <w:p w:rsidR="00811B9A" w:rsidRPr="004C62A2" w:rsidRDefault="00811B9A" w:rsidP="00F04170">
            <w:pPr>
              <w:rPr>
                <w:b/>
                <w:bCs/>
              </w:rPr>
            </w:pPr>
            <w:r w:rsidRPr="004C62A2">
              <w:rPr>
                <w:b/>
                <w:bCs/>
              </w:rPr>
              <w:t>Finanzierungstätigkeit (Saldo aus 2.8 und 2.9) von</w:t>
            </w:r>
          </w:p>
        </w:tc>
        <w:tc>
          <w:tcPr>
            <w:tcW w:w="1511" w:type="dxa"/>
            <w:noWrap/>
            <w:hideMark/>
          </w:tcPr>
          <w:p w:rsidR="00811B9A" w:rsidRPr="004C62A2" w:rsidRDefault="00811B9A" w:rsidP="00F04170">
            <w:pPr>
              <w:jc w:val="right"/>
              <w:rPr>
                <w:b/>
                <w:bCs/>
              </w:rPr>
            </w:pPr>
            <w:r w:rsidRPr="004C62A2">
              <w:rPr>
                <w:b/>
                <w:bCs/>
              </w:rPr>
              <w:t>-0-</w:t>
            </w:r>
          </w:p>
        </w:tc>
      </w:tr>
      <w:tr w:rsidR="00811B9A" w:rsidRPr="004C62A2" w:rsidTr="00F04170">
        <w:trPr>
          <w:trHeight w:val="261"/>
        </w:trPr>
        <w:tc>
          <w:tcPr>
            <w:tcW w:w="8359" w:type="dxa"/>
            <w:noWrap/>
            <w:hideMark/>
          </w:tcPr>
          <w:p w:rsidR="00811B9A" w:rsidRPr="004C62A2" w:rsidRDefault="00811B9A" w:rsidP="00F04170">
            <w:pPr>
              <w:rPr>
                <w:b/>
                <w:bCs/>
              </w:rPr>
            </w:pPr>
            <w:r w:rsidRPr="004C62A2">
              <w:rPr>
                <w:b/>
                <w:bCs/>
              </w:rPr>
              <w:t>2.11 Veranschlagte Änderung des Finanzierungsmittelbestands,</w:t>
            </w:r>
          </w:p>
          <w:p w:rsidR="00811B9A" w:rsidRPr="004C62A2" w:rsidRDefault="00811B9A" w:rsidP="00F04170">
            <w:pPr>
              <w:rPr>
                <w:b/>
                <w:bCs/>
              </w:rPr>
            </w:pPr>
            <w:r w:rsidRPr="004C62A2">
              <w:rPr>
                <w:b/>
                <w:bCs/>
              </w:rPr>
              <w:t>Saldo des Finanzhaushalts (Saldo aus 2.7 und 2.10) von</w:t>
            </w:r>
          </w:p>
        </w:tc>
        <w:tc>
          <w:tcPr>
            <w:tcW w:w="1511" w:type="dxa"/>
            <w:noWrap/>
            <w:hideMark/>
          </w:tcPr>
          <w:p w:rsidR="00811B9A" w:rsidRPr="004C62A2" w:rsidRDefault="00811B9A" w:rsidP="00F04170">
            <w:pPr>
              <w:jc w:val="right"/>
              <w:rPr>
                <w:b/>
                <w:bCs/>
              </w:rPr>
            </w:pPr>
            <w:r w:rsidRPr="004C62A2">
              <w:rPr>
                <w:b/>
                <w:bCs/>
              </w:rPr>
              <w:t>-420.190</w:t>
            </w:r>
          </w:p>
        </w:tc>
      </w:tr>
    </w:tbl>
    <w:p w:rsidR="00811B9A" w:rsidRDefault="00811B9A" w:rsidP="00811B9A">
      <w:pPr>
        <w:rPr>
          <w:rFonts w:ascii="Arial" w:eastAsiaTheme="minorHAnsi" w:hAnsi="Arial" w:cs="Arial"/>
          <w:szCs w:val="24"/>
          <w:lang w:eastAsia="en-US"/>
        </w:rPr>
        <w:sectPr w:rsidR="00811B9A" w:rsidSect="00294B36">
          <w:pgSz w:w="12242" w:h="15842"/>
          <w:pgMar w:top="426" w:right="1418" w:bottom="284" w:left="1701" w:header="720" w:footer="720" w:gutter="0"/>
          <w:cols w:space="720"/>
          <w:noEndnote/>
        </w:sectPr>
      </w:pPr>
    </w:p>
    <w:p w:rsidR="00811B9A" w:rsidRPr="00C046E3" w:rsidRDefault="00811B9A" w:rsidP="00811B9A">
      <w:pPr>
        <w:jc w:val="center"/>
        <w:rPr>
          <w:rFonts w:ascii="Arial" w:eastAsiaTheme="minorHAnsi" w:hAnsi="Arial" w:cs="Arial"/>
          <w:b/>
          <w:szCs w:val="24"/>
          <w:lang w:eastAsia="en-US"/>
        </w:rPr>
      </w:pPr>
      <w:r w:rsidRPr="00C046E3">
        <w:rPr>
          <w:rFonts w:ascii="Arial" w:eastAsiaTheme="minorHAnsi" w:hAnsi="Arial" w:cs="Arial"/>
          <w:b/>
          <w:szCs w:val="24"/>
          <w:lang w:eastAsia="en-US"/>
        </w:rPr>
        <w:lastRenderedPageBreak/>
        <w:t>§ 2 Kreditermächtigung</w:t>
      </w:r>
    </w:p>
    <w:p w:rsidR="00811B9A" w:rsidRPr="00C046E3" w:rsidRDefault="00811B9A" w:rsidP="00811B9A">
      <w:pPr>
        <w:rPr>
          <w:rFonts w:ascii="Arial" w:eastAsiaTheme="minorHAnsi" w:hAnsi="Arial" w:cs="Arial"/>
          <w:szCs w:val="24"/>
          <w:lang w:eastAsia="en-US"/>
        </w:rPr>
      </w:pPr>
      <w:r w:rsidRPr="00C046E3">
        <w:rPr>
          <w:rFonts w:ascii="Arial" w:eastAsiaTheme="minorHAnsi" w:hAnsi="Arial" w:cs="Arial"/>
          <w:szCs w:val="24"/>
          <w:lang w:eastAsia="en-US"/>
        </w:rPr>
        <w:t>Der Gesamtbetrag der vorgesehenen Kreditaufnahmen für Investitionen</w:t>
      </w:r>
    </w:p>
    <w:p w:rsidR="00811B9A" w:rsidRPr="00C046E3" w:rsidRDefault="00811B9A" w:rsidP="00811B9A">
      <w:pPr>
        <w:rPr>
          <w:rFonts w:ascii="Arial" w:eastAsiaTheme="minorHAnsi" w:hAnsi="Arial" w:cs="Arial"/>
          <w:szCs w:val="24"/>
          <w:lang w:eastAsia="en-US"/>
        </w:rPr>
      </w:pPr>
      <w:r w:rsidRPr="00C046E3">
        <w:rPr>
          <w:rFonts w:ascii="Arial" w:eastAsiaTheme="minorHAnsi" w:hAnsi="Arial" w:cs="Arial"/>
          <w:szCs w:val="24"/>
          <w:lang w:eastAsia="en-US"/>
        </w:rPr>
        <w:t>und Investitionsförderungsmaßnahmen (Kreditermächtigung) wird festgesetzt</w:t>
      </w:r>
    </w:p>
    <w:p w:rsidR="00811B9A" w:rsidRPr="00C046E3" w:rsidRDefault="00811B9A" w:rsidP="00811B9A">
      <w:pPr>
        <w:rPr>
          <w:rFonts w:ascii="Arial" w:eastAsiaTheme="minorHAnsi" w:hAnsi="Arial" w:cs="Arial"/>
          <w:szCs w:val="24"/>
          <w:lang w:eastAsia="en-US"/>
        </w:rPr>
      </w:pPr>
      <w:r w:rsidRPr="00C046E3">
        <w:rPr>
          <w:rFonts w:ascii="Arial" w:eastAsiaTheme="minorHAnsi" w:hAnsi="Arial" w:cs="Arial"/>
          <w:szCs w:val="24"/>
          <w:lang w:eastAsia="en-US"/>
        </w:rPr>
        <w:t xml:space="preserve">auf </w:t>
      </w:r>
      <w:r w:rsidRPr="00C046E3">
        <w:rPr>
          <w:rFonts w:ascii="Arial" w:eastAsiaTheme="minorHAnsi" w:hAnsi="Arial" w:cs="Arial"/>
          <w:szCs w:val="24"/>
          <w:lang w:eastAsia="en-US"/>
        </w:rPr>
        <w:tab/>
      </w:r>
      <w:r w:rsidRPr="00C046E3">
        <w:rPr>
          <w:rFonts w:ascii="Arial" w:eastAsiaTheme="minorHAnsi" w:hAnsi="Arial" w:cs="Arial"/>
          <w:szCs w:val="24"/>
          <w:lang w:eastAsia="en-US"/>
        </w:rPr>
        <w:tab/>
      </w:r>
      <w:r w:rsidRPr="00C046E3">
        <w:rPr>
          <w:rFonts w:ascii="Arial" w:eastAsiaTheme="minorHAnsi" w:hAnsi="Arial" w:cs="Arial"/>
          <w:szCs w:val="24"/>
          <w:lang w:eastAsia="en-US"/>
        </w:rPr>
        <w:tab/>
      </w:r>
      <w:r w:rsidRPr="00C046E3">
        <w:rPr>
          <w:rFonts w:ascii="Arial" w:eastAsiaTheme="minorHAnsi" w:hAnsi="Arial" w:cs="Arial"/>
          <w:szCs w:val="24"/>
          <w:lang w:eastAsia="en-US"/>
        </w:rPr>
        <w:tab/>
      </w:r>
      <w:r w:rsidRPr="00C046E3">
        <w:rPr>
          <w:rFonts w:ascii="Arial" w:eastAsiaTheme="minorHAnsi" w:hAnsi="Arial" w:cs="Arial"/>
          <w:szCs w:val="24"/>
          <w:lang w:eastAsia="en-US"/>
        </w:rPr>
        <w:tab/>
      </w:r>
      <w:r w:rsidRPr="00C046E3">
        <w:rPr>
          <w:rFonts w:ascii="Arial" w:eastAsiaTheme="minorHAnsi" w:hAnsi="Arial" w:cs="Arial"/>
          <w:szCs w:val="24"/>
          <w:lang w:eastAsia="en-US"/>
        </w:rPr>
        <w:tab/>
      </w:r>
      <w:r w:rsidRPr="00C046E3">
        <w:rPr>
          <w:rFonts w:ascii="Arial" w:eastAsiaTheme="minorHAnsi" w:hAnsi="Arial" w:cs="Arial"/>
          <w:szCs w:val="24"/>
          <w:lang w:eastAsia="en-US"/>
        </w:rPr>
        <w:tab/>
      </w:r>
      <w:r w:rsidRPr="00C046E3">
        <w:rPr>
          <w:rFonts w:ascii="Arial" w:eastAsiaTheme="minorHAnsi" w:hAnsi="Arial" w:cs="Arial"/>
          <w:szCs w:val="24"/>
          <w:lang w:eastAsia="en-US"/>
        </w:rPr>
        <w:tab/>
      </w:r>
      <w:r w:rsidRPr="00C046E3">
        <w:rPr>
          <w:rFonts w:ascii="Arial" w:eastAsiaTheme="minorHAnsi" w:hAnsi="Arial" w:cs="Arial"/>
          <w:szCs w:val="24"/>
          <w:lang w:eastAsia="en-US"/>
        </w:rPr>
        <w:tab/>
      </w:r>
      <w:r w:rsidRPr="00C046E3">
        <w:rPr>
          <w:rFonts w:ascii="Arial" w:eastAsiaTheme="minorHAnsi" w:hAnsi="Arial" w:cs="Arial"/>
          <w:szCs w:val="24"/>
          <w:lang w:eastAsia="en-US"/>
        </w:rPr>
        <w:tab/>
      </w:r>
      <w:r w:rsidRPr="00C046E3">
        <w:rPr>
          <w:rFonts w:ascii="Arial" w:eastAsiaTheme="minorHAnsi" w:hAnsi="Arial" w:cs="Arial"/>
          <w:color w:val="FFFFFF" w:themeColor="background1"/>
          <w:szCs w:val="24"/>
          <w:lang w:eastAsia="en-US"/>
        </w:rPr>
        <w:t>000.00</w:t>
      </w:r>
      <w:r w:rsidRPr="00C046E3">
        <w:rPr>
          <w:rFonts w:ascii="Arial" w:eastAsiaTheme="minorHAnsi" w:hAnsi="Arial" w:cs="Arial"/>
          <w:szCs w:val="24"/>
          <w:lang w:eastAsia="en-US"/>
        </w:rPr>
        <w:t>0 EUR.</w:t>
      </w:r>
    </w:p>
    <w:p w:rsidR="00811B9A" w:rsidRPr="00C046E3" w:rsidRDefault="00811B9A" w:rsidP="00811B9A">
      <w:pPr>
        <w:rPr>
          <w:rFonts w:ascii="Arial" w:eastAsiaTheme="minorHAnsi" w:hAnsi="Arial" w:cs="Arial"/>
          <w:szCs w:val="24"/>
          <w:lang w:eastAsia="en-US"/>
        </w:rPr>
      </w:pPr>
    </w:p>
    <w:p w:rsidR="00811B9A" w:rsidRPr="00C046E3" w:rsidRDefault="00811B9A" w:rsidP="00811B9A">
      <w:pPr>
        <w:jc w:val="center"/>
        <w:rPr>
          <w:rFonts w:ascii="Arial" w:eastAsiaTheme="minorHAnsi" w:hAnsi="Arial" w:cs="Arial"/>
          <w:b/>
          <w:szCs w:val="24"/>
          <w:lang w:eastAsia="en-US"/>
        </w:rPr>
      </w:pPr>
      <w:r w:rsidRPr="00C046E3">
        <w:rPr>
          <w:rFonts w:ascii="Arial" w:eastAsiaTheme="minorHAnsi" w:hAnsi="Arial" w:cs="Arial"/>
          <w:b/>
          <w:szCs w:val="24"/>
          <w:lang w:eastAsia="en-US"/>
        </w:rPr>
        <w:t>§ 3 Verpflichtungsermächtigungen</w:t>
      </w:r>
    </w:p>
    <w:p w:rsidR="00811B9A" w:rsidRPr="00C046E3" w:rsidRDefault="00811B9A" w:rsidP="00811B9A">
      <w:pPr>
        <w:rPr>
          <w:rFonts w:ascii="Arial" w:eastAsiaTheme="minorHAnsi" w:hAnsi="Arial" w:cs="Arial"/>
          <w:szCs w:val="24"/>
          <w:lang w:eastAsia="en-US"/>
        </w:rPr>
      </w:pPr>
      <w:r w:rsidRPr="00C046E3">
        <w:rPr>
          <w:rFonts w:ascii="Arial" w:eastAsiaTheme="minorHAnsi" w:hAnsi="Arial" w:cs="Arial"/>
          <w:szCs w:val="24"/>
          <w:lang w:eastAsia="en-US"/>
        </w:rPr>
        <w:t xml:space="preserve">Der Gesamtbetrag der vorgesehenen Ermächtigungen zum Eingehen von Verpflichtungen </w:t>
      </w:r>
      <w:r>
        <w:rPr>
          <w:rFonts w:ascii="Arial" w:eastAsiaTheme="minorHAnsi" w:hAnsi="Arial" w:cs="Arial"/>
          <w:szCs w:val="24"/>
          <w:lang w:eastAsia="en-US"/>
        </w:rPr>
        <w:t xml:space="preserve">für </w:t>
      </w:r>
      <w:r w:rsidRPr="00C046E3">
        <w:rPr>
          <w:rFonts w:ascii="Arial" w:eastAsiaTheme="minorHAnsi" w:hAnsi="Arial" w:cs="Arial"/>
          <w:szCs w:val="24"/>
          <w:lang w:eastAsia="en-US"/>
        </w:rPr>
        <w:t>die künftige</w:t>
      </w:r>
      <w:r>
        <w:rPr>
          <w:rFonts w:ascii="Arial" w:eastAsiaTheme="minorHAnsi" w:hAnsi="Arial" w:cs="Arial"/>
          <w:szCs w:val="24"/>
          <w:lang w:eastAsia="en-US"/>
        </w:rPr>
        <w:t>n</w:t>
      </w:r>
      <w:r w:rsidRPr="00C046E3">
        <w:rPr>
          <w:rFonts w:ascii="Arial" w:eastAsiaTheme="minorHAnsi" w:hAnsi="Arial" w:cs="Arial"/>
          <w:szCs w:val="24"/>
          <w:lang w:eastAsia="en-US"/>
        </w:rPr>
        <w:t xml:space="preserve"> Haushaltsjahre mit Auszahlungen für Investitionen und Investitionsförderungsmaßnahmen belasten (Verpflichtungsermächtigungen), wird festgesetzt</w:t>
      </w:r>
    </w:p>
    <w:p w:rsidR="00811B9A" w:rsidRDefault="00811B9A" w:rsidP="00811B9A">
      <w:pPr>
        <w:rPr>
          <w:rFonts w:ascii="Arial" w:eastAsiaTheme="minorHAnsi" w:hAnsi="Arial" w:cs="Arial"/>
          <w:szCs w:val="24"/>
          <w:lang w:eastAsia="en-US"/>
        </w:rPr>
      </w:pPr>
      <w:r w:rsidRPr="00C046E3">
        <w:rPr>
          <w:rFonts w:ascii="Arial" w:eastAsiaTheme="minorHAnsi" w:hAnsi="Arial" w:cs="Arial"/>
          <w:szCs w:val="24"/>
          <w:lang w:eastAsia="en-US"/>
        </w:rPr>
        <w:t xml:space="preserve">auf </w:t>
      </w:r>
      <w:r w:rsidRPr="00C046E3">
        <w:rPr>
          <w:rFonts w:ascii="Arial" w:eastAsiaTheme="minorHAnsi" w:hAnsi="Arial" w:cs="Arial"/>
          <w:szCs w:val="24"/>
          <w:lang w:eastAsia="en-US"/>
        </w:rPr>
        <w:tab/>
      </w:r>
      <w:r w:rsidRPr="00C046E3">
        <w:rPr>
          <w:rFonts w:ascii="Arial" w:eastAsiaTheme="minorHAnsi" w:hAnsi="Arial" w:cs="Arial"/>
          <w:szCs w:val="24"/>
          <w:lang w:eastAsia="en-US"/>
        </w:rPr>
        <w:tab/>
      </w:r>
      <w:r w:rsidRPr="00C046E3">
        <w:rPr>
          <w:rFonts w:ascii="Arial" w:eastAsiaTheme="minorHAnsi" w:hAnsi="Arial" w:cs="Arial"/>
          <w:szCs w:val="24"/>
          <w:lang w:eastAsia="en-US"/>
        </w:rPr>
        <w:tab/>
      </w:r>
      <w:r w:rsidRPr="00C046E3">
        <w:rPr>
          <w:rFonts w:ascii="Arial" w:eastAsiaTheme="minorHAnsi" w:hAnsi="Arial" w:cs="Arial"/>
          <w:szCs w:val="24"/>
          <w:lang w:eastAsia="en-US"/>
        </w:rPr>
        <w:tab/>
      </w:r>
      <w:r w:rsidRPr="00C046E3">
        <w:rPr>
          <w:rFonts w:ascii="Arial" w:eastAsiaTheme="minorHAnsi" w:hAnsi="Arial" w:cs="Arial"/>
          <w:szCs w:val="24"/>
          <w:lang w:eastAsia="en-US"/>
        </w:rPr>
        <w:tab/>
      </w:r>
      <w:r w:rsidRPr="00C046E3">
        <w:rPr>
          <w:rFonts w:ascii="Arial" w:eastAsiaTheme="minorHAnsi" w:hAnsi="Arial" w:cs="Arial"/>
          <w:szCs w:val="24"/>
          <w:lang w:eastAsia="en-US"/>
        </w:rPr>
        <w:tab/>
      </w:r>
      <w:r w:rsidRPr="00C046E3">
        <w:rPr>
          <w:rFonts w:ascii="Arial" w:eastAsiaTheme="minorHAnsi" w:hAnsi="Arial" w:cs="Arial"/>
          <w:szCs w:val="24"/>
          <w:lang w:eastAsia="en-US"/>
        </w:rPr>
        <w:tab/>
      </w:r>
      <w:r w:rsidRPr="00C046E3">
        <w:rPr>
          <w:rFonts w:ascii="Arial" w:eastAsiaTheme="minorHAnsi" w:hAnsi="Arial" w:cs="Arial"/>
          <w:szCs w:val="24"/>
          <w:lang w:eastAsia="en-US"/>
        </w:rPr>
        <w:tab/>
      </w:r>
      <w:r w:rsidRPr="00C046E3">
        <w:rPr>
          <w:rFonts w:ascii="Arial" w:eastAsiaTheme="minorHAnsi" w:hAnsi="Arial" w:cs="Arial"/>
          <w:szCs w:val="24"/>
          <w:lang w:eastAsia="en-US"/>
        </w:rPr>
        <w:tab/>
      </w:r>
      <w:r>
        <w:rPr>
          <w:rFonts w:ascii="Arial" w:eastAsiaTheme="minorHAnsi" w:hAnsi="Arial" w:cs="Arial"/>
          <w:szCs w:val="24"/>
          <w:lang w:eastAsia="en-US"/>
        </w:rPr>
        <w:tab/>
      </w:r>
      <w:r>
        <w:rPr>
          <w:rFonts w:ascii="Arial" w:eastAsiaTheme="minorHAnsi" w:hAnsi="Arial" w:cs="Arial"/>
          <w:szCs w:val="24"/>
          <w:lang w:eastAsia="en-US"/>
        </w:rPr>
        <w:tab/>
      </w:r>
      <w:r w:rsidRPr="00C046E3">
        <w:rPr>
          <w:rFonts w:ascii="Arial" w:eastAsiaTheme="minorHAnsi" w:hAnsi="Arial" w:cs="Arial"/>
          <w:szCs w:val="24"/>
          <w:lang w:eastAsia="en-US"/>
        </w:rPr>
        <w:t>0 EUR.</w:t>
      </w:r>
    </w:p>
    <w:p w:rsidR="00811B9A" w:rsidRPr="00C046E3" w:rsidRDefault="00811B9A" w:rsidP="00811B9A">
      <w:pPr>
        <w:rPr>
          <w:rFonts w:ascii="Arial" w:eastAsiaTheme="minorHAnsi" w:hAnsi="Arial" w:cs="Arial"/>
          <w:szCs w:val="24"/>
          <w:lang w:eastAsia="en-US"/>
        </w:rPr>
      </w:pPr>
    </w:p>
    <w:p w:rsidR="00811B9A" w:rsidRPr="00C046E3" w:rsidRDefault="00811B9A" w:rsidP="00811B9A">
      <w:pPr>
        <w:jc w:val="center"/>
        <w:rPr>
          <w:rFonts w:ascii="Arial" w:eastAsiaTheme="minorHAnsi" w:hAnsi="Arial" w:cs="Arial"/>
          <w:b/>
          <w:szCs w:val="24"/>
          <w:lang w:eastAsia="en-US"/>
        </w:rPr>
      </w:pPr>
      <w:r w:rsidRPr="00C046E3">
        <w:rPr>
          <w:rFonts w:ascii="Arial" w:eastAsiaTheme="minorHAnsi" w:hAnsi="Arial" w:cs="Arial"/>
          <w:b/>
          <w:szCs w:val="24"/>
          <w:lang w:eastAsia="en-US"/>
        </w:rPr>
        <w:t>§ 4 Kassenkredite</w:t>
      </w:r>
    </w:p>
    <w:p w:rsidR="00811B9A" w:rsidRPr="00C046E3" w:rsidRDefault="00811B9A" w:rsidP="00811B9A">
      <w:pPr>
        <w:rPr>
          <w:rFonts w:ascii="Arial" w:eastAsiaTheme="minorHAnsi" w:hAnsi="Arial" w:cs="Arial"/>
          <w:szCs w:val="24"/>
          <w:lang w:eastAsia="en-US"/>
        </w:rPr>
      </w:pPr>
      <w:r w:rsidRPr="00C046E3">
        <w:rPr>
          <w:rFonts w:ascii="Arial" w:eastAsiaTheme="minorHAnsi" w:hAnsi="Arial" w:cs="Arial"/>
          <w:szCs w:val="24"/>
          <w:lang w:eastAsia="en-US"/>
        </w:rPr>
        <w:t>Der Höchstbetrag der Kassenkredite wird festgesetzt</w:t>
      </w:r>
    </w:p>
    <w:p w:rsidR="00811B9A" w:rsidRDefault="00811B9A" w:rsidP="00811B9A">
      <w:pPr>
        <w:rPr>
          <w:rFonts w:ascii="Arial" w:eastAsiaTheme="minorHAnsi" w:hAnsi="Arial" w:cs="Arial"/>
          <w:szCs w:val="24"/>
          <w:lang w:eastAsia="en-US"/>
        </w:rPr>
      </w:pPr>
      <w:r w:rsidRPr="00C046E3">
        <w:rPr>
          <w:rFonts w:ascii="Arial" w:eastAsiaTheme="minorHAnsi" w:hAnsi="Arial" w:cs="Arial"/>
          <w:szCs w:val="24"/>
          <w:lang w:eastAsia="en-US"/>
        </w:rPr>
        <w:t xml:space="preserve">auf </w:t>
      </w:r>
      <w:r w:rsidRPr="00C046E3">
        <w:rPr>
          <w:rFonts w:ascii="Arial" w:eastAsiaTheme="minorHAnsi" w:hAnsi="Arial" w:cs="Arial"/>
          <w:szCs w:val="24"/>
          <w:lang w:eastAsia="en-US"/>
        </w:rPr>
        <w:tab/>
      </w:r>
      <w:r w:rsidRPr="00C046E3">
        <w:rPr>
          <w:rFonts w:ascii="Arial" w:eastAsiaTheme="minorHAnsi" w:hAnsi="Arial" w:cs="Arial"/>
          <w:szCs w:val="24"/>
          <w:lang w:eastAsia="en-US"/>
        </w:rPr>
        <w:tab/>
      </w:r>
      <w:r w:rsidRPr="00C046E3">
        <w:rPr>
          <w:rFonts w:ascii="Arial" w:eastAsiaTheme="minorHAnsi" w:hAnsi="Arial" w:cs="Arial"/>
          <w:szCs w:val="24"/>
          <w:lang w:eastAsia="en-US"/>
        </w:rPr>
        <w:tab/>
      </w:r>
      <w:r w:rsidRPr="00C046E3">
        <w:rPr>
          <w:rFonts w:ascii="Arial" w:eastAsiaTheme="minorHAnsi" w:hAnsi="Arial" w:cs="Arial"/>
          <w:szCs w:val="24"/>
          <w:lang w:eastAsia="en-US"/>
        </w:rPr>
        <w:tab/>
      </w:r>
      <w:r w:rsidRPr="00C046E3">
        <w:rPr>
          <w:rFonts w:ascii="Arial" w:eastAsiaTheme="minorHAnsi" w:hAnsi="Arial" w:cs="Arial"/>
          <w:szCs w:val="24"/>
          <w:lang w:eastAsia="en-US"/>
        </w:rPr>
        <w:tab/>
      </w:r>
      <w:r w:rsidRPr="00C046E3">
        <w:rPr>
          <w:rFonts w:ascii="Arial" w:eastAsiaTheme="minorHAnsi" w:hAnsi="Arial" w:cs="Arial"/>
          <w:szCs w:val="24"/>
          <w:lang w:eastAsia="en-US"/>
        </w:rPr>
        <w:tab/>
      </w:r>
      <w:r w:rsidRPr="00C046E3">
        <w:rPr>
          <w:rFonts w:ascii="Arial" w:eastAsiaTheme="minorHAnsi" w:hAnsi="Arial" w:cs="Arial"/>
          <w:szCs w:val="24"/>
          <w:lang w:eastAsia="en-US"/>
        </w:rPr>
        <w:tab/>
      </w:r>
      <w:r w:rsidRPr="00C046E3">
        <w:rPr>
          <w:rFonts w:ascii="Arial" w:eastAsiaTheme="minorHAnsi" w:hAnsi="Arial" w:cs="Arial"/>
          <w:szCs w:val="24"/>
          <w:lang w:eastAsia="en-US"/>
        </w:rPr>
        <w:tab/>
      </w:r>
      <w:r w:rsidRPr="00C046E3">
        <w:rPr>
          <w:rFonts w:ascii="Arial" w:eastAsiaTheme="minorHAnsi" w:hAnsi="Arial" w:cs="Arial"/>
          <w:szCs w:val="24"/>
          <w:lang w:eastAsia="en-US"/>
        </w:rPr>
        <w:tab/>
      </w:r>
      <w:r w:rsidRPr="00C046E3">
        <w:rPr>
          <w:rFonts w:ascii="Arial" w:eastAsiaTheme="minorHAnsi" w:hAnsi="Arial" w:cs="Arial"/>
          <w:szCs w:val="24"/>
          <w:lang w:eastAsia="en-US"/>
        </w:rPr>
        <w:tab/>
      </w:r>
      <w:r>
        <w:rPr>
          <w:rFonts w:ascii="Arial" w:eastAsiaTheme="minorHAnsi" w:hAnsi="Arial" w:cs="Arial"/>
          <w:szCs w:val="24"/>
          <w:lang w:eastAsia="en-US"/>
        </w:rPr>
        <w:t>20</w:t>
      </w:r>
      <w:r w:rsidRPr="00C046E3">
        <w:rPr>
          <w:rFonts w:ascii="Arial" w:eastAsiaTheme="minorHAnsi" w:hAnsi="Arial" w:cs="Arial"/>
          <w:szCs w:val="24"/>
          <w:lang w:eastAsia="en-US"/>
        </w:rPr>
        <w:t>0.000 EUR.</w:t>
      </w:r>
    </w:p>
    <w:p w:rsidR="00811B9A" w:rsidRPr="00C046E3" w:rsidRDefault="00811B9A" w:rsidP="00811B9A">
      <w:pPr>
        <w:rPr>
          <w:rFonts w:ascii="Arial" w:eastAsiaTheme="minorHAnsi" w:hAnsi="Arial" w:cs="Arial"/>
          <w:szCs w:val="24"/>
          <w:lang w:eastAsia="en-US"/>
        </w:rPr>
      </w:pPr>
    </w:p>
    <w:p w:rsidR="00811B9A" w:rsidRPr="00C046E3" w:rsidRDefault="00811B9A" w:rsidP="00811B9A">
      <w:pPr>
        <w:rPr>
          <w:rFonts w:ascii="Arial" w:eastAsiaTheme="minorHAnsi" w:hAnsi="Arial" w:cs="Arial"/>
          <w:szCs w:val="24"/>
          <w:lang w:eastAsia="en-US"/>
        </w:rPr>
      </w:pPr>
    </w:p>
    <w:p w:rsidR="00811B9A" w:rsidRPr="00C046E3" w:rsidRDefault="00811B9A" w:rsidP="00811B9A">
      <w:pPr>
        <w:jc w:val="center"/>
        <w:rPr>
          <w:rFonts w:ascii="Arial" w:eastAsiaTheme="minorHAnsi" w:hAnsi="Arial" w:cs="Arial"/>
          <w:b/>
          <w:szCs w:val="24"/>
          <w:lang w:eastAsia="en-US"/>
        </w:rPr>
      </w:pPr>
      <w:r w:rsidRPr="00C046E3">
        <w:rPr>
          <w:rFonts w:ascii="Arial" w:eastAsiaTheme="minorHAnsi" w:hAnsi="Arial" w:cs="Arial"/>
          <w:b/>
          <w:szCs w:val="24"/>
          <w:lang w:eastAsia="en-US"/>
        </w:rPr>
        <w:t>§ 5 Steuersätze</w:t>
      </w:r>
    </w:p>
    <w:p w:rsidR="00811B9A" w:rsidRPr="00C046E3" w:rsidRDefault="00811B9A" w:rsidP="00811B9A">
      <w:pPr>
        <w:rPr>
          <w:rFonts w:ascii="Arial" w:eastAsiaTheme="minorHAnsi" w:hAnsi="Arial" w:cs="Arial"/>
          <w:szCs w:val="24"/>
          <w:lang w:eastAsia="en-US"/>
        </w:rPr>
      </w:pPr>
      <w:r w:rsidRPr="00C046E3">
        <w:rPr>
          <w:rFonts w:ascii="Arial" w:eastAsiaTheme="minorHAnsi" w:hAnsi="Arial" w:cs="Arial"/>
          <w:szCs w:val="24"/>
          <w:lang w:eastAsia="en-US"/>
        </w:rPr>
        <w:t>Die Steuersätze (Hebesätze) werden festgesetzt</w:t>
      </w:r>
    </w:p>
    <w:p w:rsidR="00811B9A" w:rsidRPr="00C046E3" w:rsidRDefault="00811B9A" w:rsidP="00811B9A">
      <w:pPr>
        <w:rPr>
          <w:rFonts w:ascii="Arial" w:eastAsiaTheme="minorHAnsi" w:hAnsi="Arial" w:cs="Arial"/>
          <w:szCs w:val="24"/>
          <w:lang w:eastAsia="en-US"/>
        </w:rPr>
      </w:pPr>
      <w:r w:rsidRPr="00C046E3">
        <w:rPr>
          <w:rFonts w:ascii="Arial" w:eastAsiaTheme="minorHAnsi" w:hAnsi="Arial" w:cs="Arial"/>
          <w:szCs w:val="24"/>
          <w:lang w:eastAsia="en-US"/>
        </w:rPr>
        <w:t>1. für die Grundsteuer</w:t>
      </w:r>
    </w:p>
    <w:p w:rsidR="00811B9A" w:rsidRPr="00C046E3" w:rsidRDefault="00811B9A" w:rsidP="00811B9A">
      <w:pPr>
        <w:rPr>
          <w:rFonts w:ascii="Arial" w:eastAsiaTheme="minorHAnsi" w:hAnsi="Arial" w:cs="Arial"/>
          <w:szCs w:val="24"/>
          <w:lang w:eastAsia="en-US"/>
        </w:rPr>
      </w:pPr>
      <w:r w:rsidRPr="00C046E3">
        <w:rPr>
          <w:rFonts w:ascii="Arial" w:eastAsiaTheme="minorHAnsi" w:hAnsi="Arial" w:cs="Arial"/>
          <w:szCs w:val="24"/>
          <w:lang w:eastAsia="en-US"/>
        </w:rPr>
        <w:t xml:space="preserve">a) für die land- und </w:t>
      </w:r>
      <w:proofErr w:type="spellStart"/>
      <w:r w:rsidRPr="00C046E3">
        <w:rPr>
          <w:rFonts w:ascii="Arial" w:eastAsiaTheme="minorHAnsi" w:hAnsi="Arial" w:cs="Arial"/>
          <w:szCs w:val="24"/>
          <w:lang w:eastAsia="en-US"/>
        </w:rPr>
        <w:t>forstwirtschaftl</w:t>
      </w:r>
      <w:proofErr w:type="spellEnd"/>
      <w:r w:rsidRPr="00C046E3">
        <w:rPr>
          <w:rFonts w:ascii="Arial" w:eastAsiaTheme="minorHAnsi" w:hAnsi="Arial" w:cs="Arial"/>
          <w:szCs w:val="24"/>
          <w:lang w:eastAsia="en-US"/>
        </w:rPr>
        <w:t xml:space="preserve">. Betriebe (Grundsteuer A) auf </w:t>
      </w:r>
      <w:r w:rsidRPr="00C046E3">
        <w:rPr>
          <w:rFonts w:ascii="Arial" w:eastAsiaTheme="minorHAnsi" w:hAnsi="Arial" w:cs="Arial"/>
          <w:szCs w:val="24"/>
          <w:lang w:eastAsia="en-US"/>
        </w:rPr>
        <w:tab/>
      </w:r>
      <w:r w:rsidRPr="00C046E3">
        <w:rPr>
          <w:rFonts w:ascii="Arial" w:eastAsiaTheme="minorHAnsi" w:hAnsi="Arial" w:cs="Arial"/>
          <w:szCs w:val="24"/>
          <w:lang w:eastAsia="en-US"/>
        </w:rPr>
        <w:tab/>
        <w:t>3</w:t>
      </w:r>
      <w:r>
        <w:rPr>
          <w:rFonts w:ascii="Arial" w:eastAsiaTheme="minorHAnsi" w:hAnsi="Arial" w:cs="Arial"/>
          <w:szCs w:val="24"/>
          <w:lang w:eastAsia="en-US"/>
        </w:rPr>
        <w:t>3</w:t>
      </w:r>
      <w:r w:rsidRPr="00C046E3">
        <w:rPr>
          <w:rFonts w:ascii="Arial" w:eastAsiaTheme="minorHAnsi" w:hAnsi="Arial" w:cs="Arial"/>
          <w:szCs w:val="24"/>
          <w:lang w:eastAsia="en-US"/>
        </w:rPr>
        <w:t>0 v.H.</w:t>
      </w:r>
    </w:p>
    <w:p w:rsidR="00811B9A" w:rsidRPr="00C046E3" w:rsidRDefault="00811B9A" w:rsidP="00811B9A">
      <w:pPr>
        <w:rPr>
          <w:rFonts w:ascii="Arial" w:eastAsiaTheme="minorHAnsi" w:hAnsi="Arial" w:cs="Arial"/>
          <w:szCs w:val="24"/>
          <w:lang w:eastAsia="en-US"/>
        </w:rPr>
      </w:pPr>
      <w:r w:rsidRPr="00C046E3">
        <w:rPr>
          <w:rFonts w:ascii="Arial" w:eastAsiaTheme="minorHAnsi" w:hAnsi="Arial" w:cs="Arial"/>
          <w:szCs w:val="24"/>
          <w:lang w:eastAsia="en-US"/>
        </w:rPr>
        <w:t xml:space="preserve">b) für die Grundstücke (Grundsteuer B) auf </w:t>
      </w:r>
      <w:r w:rsidRPr="00C046E3">
        <w:rPr>
          <w:rFonts w:ascii="Arial" w:eastAsiaTheme="minorHAnsi" w:hAnsi="Arial" w:cs="Arial"/>
          <w:szCs w:val="24"/>
          <w:lang w:eastAsia="en-US"/>
        </w:rPr>
        <w:tab/>
      </w:r>
      <w:r w:rsidRPr="00C046E3">
        <w:rPr>
          <w:rFonts w:ascii="Arial" w:eastAsiaTheme="minorHAnsi" w:hAnsi="Arial" w:cs="Arial"/>
          <w:szCs w:val="24"/>
          <w:lang w:eastAsia="en-US"/>
        </w:rPr>
        <w:tab/>
      </w:r>
      <w:r w:rsidRPr="00C046E3">
        <w:rPr>
          <w:rFonts w:ascii="Arial" w:eastAsiaTheme="minorHAnsi" w:hAnsi="Arial" w:cs="Arial"/>
          <w:szCs w:val="24"/>
          <w:lang w:eastAsia="en-US"/>
        </w:rPr>
        <w:tab/>
      </w:r>
      <w:r w:rsidRPr="00C046E3">
        <w:rPr>
          <w:rFonts w:ascii="Arial" w:eastAsiaTheme="minorHAnsi" w:hAnsi="Arial" w:cs="Arial"/>
          <w:szCs w:val="24"/>
          <w:lang w:eastAsia="en-US"/>
        </w:rPr>
        <w:tab/>
      </w:r>
      <w:r w:rsidRPr="00C046E3">
        <w:rPr>
          <w:rFonts w:ascii="Arial" w:eastAsiaTheme="minorHAnsi" w:hAnsi="Arial" w:cs="Arial"/>
          <w:szCs w:val="24"/>
          <w:lang w:eastAsia="en-US"/>
        </w:rPr>
        <w:tab/>
        <w:t>300 v.H.</w:t>
      </w:r>
    </w:p>
    <w:p w:rsidR="00811B9A" w:rsidRPr="00C046E3" w:rsidRDefault="00811B9A" w:rsidP="00811B9A">
      <w:pPr>
        <w:rPr>
          <w:rFonts w:ascii="Arial" w:eastAsiaTheme="minorHAnsi" w:hAnsi="Arial" w:cs="Arial"/>
          <w:szCs w:val="24"/>
          <w:lang w:eastAsia="en-US"/>
        </w:rPr>
      </w:pPr>
      <w:r w:rsidRPr="00C046E3">
        <w:rPr>
          <w:rFonts w:ascii="Arial" w:eastAsiaTheme="minorHAnsi" w:hAnsi="Arial" w:cs="Arial"/>
          <w:szCs w:val="24"/>
          <w:lang w:eastAsia="en-US"/>
        </w:rPr>
        <w:t>der Steuermessbeträge;</w:t>
      </w:r>
    </w:p>
    <w:p w:rsidR="00811B9A" w:rsidRPr="00C046E3" w:rsidRDefault="00811B9A" w:rsidP="00811B9A">
      <w:pPr>
        <w:rPr>
          <w:rFonts w:ascii="Arial" w:eastAsiaTheme="minorHAnsi" w:hAnsi="Arial" w:cs="Arial"/>
          <w:szCs w:val="24"/>
          <w:lang w:eastAsia="en-US"/>
        </w:rPr>
      </w:pPr>
      <w:r w:rsidRPr="00C046E3">
        <w:rPr>
          <w:rFonts w:ascii="Arial" w:eastAsiaTheme="minorHAnsi" w:hAnsi="Arial" w:cs="Arial"/>
          <w:szCs w:val="24"/>
          <w:lang w:eastAsia="en-US"/>
        </w:rPr>
        <w:t xml:space="preserve">2. für die Gewerbesteuer auf </w:t>
      </w:r>
      <w:r w:rsidRPr="00C046E3">
        <w:rPr>
          <w:rFonts w:ascii="Arial" w:eastAsiaTheme="minorHAnsi" w:hAnsi="Arial" w:cs="Arial"/>
          <w:szCs w:val="24"/>
          <w:lang w:eastAsia="en-US"/>
        </w:rPr>
        <w:tab/>
      </w:r>
      <w:r w:rsidRPr="00C046E3">
        <w:rPr>
          <w:rFonts w:ascii="Arial" w:eastAsiaTheme="minorHAnsi" w:hAnsi="Arial" w:cs="Arial"/>
          <w:szCs w:val="24"/>
          <w:lang w:eastAsia="en-US"/>
        </w:rPr>
        <w:tab/>
      </w:r>
      <w:r w:rsidRPr="00C046E3">
        <w:rPr>
          <w:rFonts w:ascii="Arial" w:eastAsiaTheme="minorHAnsi" w:hAnsi="Arial" w:cs="Arial"/>
          <w:szCs w:val="24"/>
          <w:lang w:eastAsia="en-US"/>
        </w:rPr>
        <w:tab/>
      </w:r>
      <w:r w:rsidRPr="00C046E3">
        <w:rPr>
          <w:rFonts w:ascii="Arial" w:eastAsiaTheme="minorHAnsi" w:hAnsi="Arial" w:cs="Arial"/>
          <w:szCs w:val="24"/>
          <w:lang w:eastAsia="en-US"/>
        </w:rPr>
        <w:tab/>
      </w:r>
      <w:r w:rsidRPr="00C046E3">
        <w:rPr>
          <w:rFonts w:ascii="Arial" w:eastAsiaTheme="minorHAnsi" w:hAnsi="Arial" w:cs="Arial"/>
          <w:szCs w:val="24"/>
          <w:lang w:eastAsia="en-US"/>
        </w:rPr>
        <w:tab/>
      </w:r>
      <w:r w:rsidRPr="00C046E3">
        <w:rPr>
          <w:rFonts w:ascii="Arial" w:eastAsiaTheme="minorHAnsi" w:hAnsi="Arial" w:cs="Arial"/>
          <w:szCs w:val="24"/>
          <w:lang w:eastAsia="en-US"/>
        </w:rPr>
        <w:tab/>
      </w:r>
      <w:r w:rsidRPr="00C046E3">
        <w:rPr>
          <w:rFonts w:ascii="Arial" w:eastAsiaTheme="minorHAnsi" w:hAnsi="Arial" w:cs="Arial"/>
          <w:szCs w:val="24"/>
          <w:lang w:eastAsia="en-US"/>
        </w:rPr>
        <w:tab/>
        <w:t>340 v.H.</w:t>
      </w:r>
    </w:p>
    <w:p w:rsidR="00811B9A" w:rsidRPr="00C046E3" w:rsidRDefault="00811B9A" w:rsidP="00811B9A">
      <w:pPr>
        <w:rPr>
          <w:rFonts w:ascii="Arial" w:eastAsiaTheme="minorHAnsi" w:hAnsi="Arial" w:cs="Arial"/>
          <w:szCs w:val="24"/>
          <w:lang w:eastAsia="en-US"/>
        </w:rPr>
      </w:pPr>
      <w:r w:rsidRPr="00C046E3">
        <w:rPr>
          <w:rFonts w:ascii="Arial" w:eastAsiaTheme="minorHAnsi" w:hAnsi="Arial" w:cs="Arial"/>
          <w:szCs w:val="24"/>
          <w:lang w:eastAsia="en-US"/>
        </w:rPr>
        <w:t>der Steuermessbeträge.</w:t>
      </w:r>
    </w:p>
    <w:p w:rsidR="00811B9A" w:rsidRPr="00C046E3" w:rsidRDefault="00811B9A" w:rsidP="00811B9A">
      <w:pPr>
        <w:rPr>
          <w:rFonts w:ascii="Arial" w:eastAsiaTheme="minorHAnsi" w:hAnsi="Arial" w:cs="Arial"/>
          <w:szCs w:val="24"/>
          <w:lang w:eastAsia="en-US"/>
        </w:rPr>
      </w:pPr>
    </w:p>
    <w:p w:rsidR="00811B9A" w:rsidRPr="00C046E3" w:rsidRDefault="00811B9A" w:rsidP="00811B9A">
      <w:pPr>
        <w:rPr>
          <w:rFonts w:ascii="Arial" w:eastAsiaTheme="minorHAnsi" w:hAnsi="Arial" w:cs="Arial"/>
          <w:szCs w:val="24"/>
          <w:lang w:eastAsia="en-US"/>
        </w:rPr>
      </w:pPr>
    </w:p>
    <w:p w:rsidR="00811B9A" w:rsidRPr="00C046E3" w:rsidRDefault="00811B9A" w:rsidP="00811B9A">
      <w:pPr>
        <w:rPr>
          <w:rFonts w:ascii="Arial" w:eastAsiaTheme="minorHAnsi" w:hAnsi="Arial" w:cs="Arial"/>
          <w:szCs w:val="24"/>
          <w:lang w:eastAsia="en-US"/>
        </w:rPr>
      </w:pPr>
      <w:r>
        <w:rPr>
          <w:rFonts w:ascii="Arial" w:eastAsiaTheme="minorHAnsi" w:hAnsi="Arial" w:cs="Arial"/>
          <w:szCs w:val="24"/>
          <w:lang w:eastAsia="en-US"/>
        </w:rPr>
        <w:t>Kanzach</w:t>
      </w:r>
      <w:r w:rsidRPr="00C046E3">
        <w:rPr>
          <w:rFonts w:ascii="Arial" w:eastAsiaTheme="minorHAnsi" w:hAnsi="Arial" w:cs="Arial"/>
          <w:szCs w:val="24"/>
          <w:lang w:eastAsia="en-US"/>
        </w:rPr>
        <w:t>,</w:t>
      </w:r>
      <w:r>
        <w:rPr>
          <w:rFonts w:ascii="Arial" w:eastAsiaTheme="minorHAnsi" w:hAnsi="Arial" w:cs="Arial"/>
          <w:szCs w:val="24"/>
          <w:lang w:eastAsia="en-US"/>
        </w:rPr>
        <w:t xml:space="preserve"> </w:t>
      </w:r>
      <w:r w:rsidR="00C229E3">
        <w:rPr>
          <w:rFonts w:ascii="Arial" w:eastAsiaTheme="minorHAnsi" w:hAnsi="Arial" w:cs="Arial"/>
          <w:szCs w:val="24"/>
          <w:lang w:eastAsia="en-US"/>
        </w:rPr>
        <w:t>27</w:t>
      </w:r>
      <w:r>
        <w:rPr>
          <w:rFonts w:ascii="Arial" w:eastAsiaTheme="minorHAnsi" w:hAnsi="Arial" w:cs="Arial"/>
          <w:szCs w:val="24"/>
          <w:lang w:eastAsia="en-US"/>
        </w:rPr>
        <w:t>.04.2023</w:t>
      </w:r>
    </w:p>
    <w:p w:rsidR="00811B9A" w:rsidRDefault="00811B9A" w:rsidP="00811B9A">
      <w:pPr>
        <w:rPr>
          <w:rFonts w:ascii="Arial" w:eastAsiaTheme="minorHAnsi" w:hAnsi="Arial" w:cs="Arial"/>
          <w:szCs w:val="24"/>
          <w:lang w:eastAsia="en-US"/>
        </w:rPr>
      </w:pPr>
      <w:r>
        <w:rPr>
          <w:rFonts w:ascii="Arial" w:eastAsiaTheme="minorHAnsi" w:hAnsi="Arial" w:cs="Arial"/>
          <w:szCs w:val="24"/>
          <w:lang w:eastAsia="en-US"/>
        </w:rPr>
        <w:t>gez. Schultheiß</w:t>
      </w:r>
      <w:r w:rsidRPr="00C046E3">
        <w:rPr>
          <w:rFonts w:ascii="Arial" w:eastAsiaTheme="minorHAnsi" w:hAnsi="Arial" w:cs="Arial"/>
          <w:szCs w:val="24"/>
          <w:lang w:eastAsia="en-US"/>
        </w:rPr>
        <w:t>,</w:t>
      </w:r>
      <w:r>
        <w:rPr>
          <w:rFonts w:ascii="Arial" w:eastAsiaTheme="minorHAnsi" w:hAnsi="Arial" w:cs="Arial"/>
          <w:szCs w:val="24"/>
          <w:lang w:eastAsia="en-US"/>
        </w:rPr>
        <w:t xml:space="preserve"> </w:t>
      </w:r>
      <w:r w:rsidRPr="00C046E3">
        <w:rPr>
          <w:rFonts w:ascii="Arial" w:eastAsiaTheme="minorHAnsi" w:hAnsi="Arial" w:cs="Arial"/>
          <w:szCs w:val="24"/>
          <w:lang w:eastAsia="en-US"/>
        </w:rPr>
        <w:t>Bürgermeister</w:t>
      </w:r>
      <w:r w:rsidRPr="00C046E3">
        <w:rPr>
          <w:rFonts w:ascii="Arial" w:eastAsiaTheme="minorHAnsi" w:hAnsi="Arial" w:cs="Arial"/>
          <w:szCs w:val="24"/>
          <w:lang w:eastAsia="en-US"/>
        </w:rPr>
        <w:tab/>
      </w:r>
    </w:p>
    <w:p w:rsidR="00C229E3" w:rsidRDefault="00C229E3" w:rsidP="00811B9A">
      <w:pPr>
        <w:rPr>
          <w:rFonts w:ascii="Arial" w:eastAsiaTheme="minorHAnsi" w:hAnsi="Arial" w:cs="Arial"/>
          <w:szCs w:val="24"/>
          <w:lang w:eastAsia="en-US"/>
        </w:rPr>
      </w:pPr>
    </w:p>
    <w:p w:rsidR="00C229E3" w:rsidRDefault="00C229E3" w:rsidP="00811B9A">
      <w:pPr>
        <w:rPr>
          <w:rFonts w:ascii="Arial" w:eastAsiaTheme="minorHAnsi" w:hAnsi="Arial" w:cs="Arial"/>
          <w:szCs w:val="24"/>
          <w:lang w:eastAsia="en-US"/>
        </w:rPr>
      </w:pPr>
    </w:p>
    <w:p w:rsidR="00C229E3" w:rsidRDefault="00C229E3" w:rsidP="00811B9A">
      <w:pPr>
        <w:rPr>
          <w:rFonts w:ascii="Arial" w:eastAsiaTheme="minorHAnsi" w:hAnsi="Arial" w:cs="Arial"/>
          <w:szCs w:val="24"/>
          <w:lang w:eastAsia="en-US"/>
        </w:rPr>
      </w:pPr>
    </w:p>
    <w:p w:rsidR="00C229E3" w:rsidRDefault="00C229E3" w:rsidP="00811B9A">
      <w:pPr>
        <w:rPr>
          <w:rFonts w:ascii="Arial" w:eastAsiaTheme="minorHAnsi" w:hAnsi="Arial" w:cs="Arial"/>
          <w:szCs w:val="24"/>
          <w:lang w:eastAsia="en-US"/>
        </w:rPr>
      </w:pPr>
    </w:p>
    <w:p w:rsidR="00C229E3" w:rsidRDefault="00C229E3" w:rsidP="00811B9A">
      <w:pPr>
        <w:rPr>
          <w:rFonts w:ascii="Arial" w:eastAsiaTheme="minorHAnsi" w:hAnsi="Arial" w:cs="Arial"/>
          <w:szCs w:val="24"/>
          <w:lang w:eastAsia="en-US"/>
        </w:rPr>
      </w:pPr>
    </w:p>
    <w:p w:rsidR="00C229E3" w:rsidRDefault="00C229E3" w:rsidP="00811B9A">
      <w:pPr>
        <w:rPr>
          <w:rFonts w:ascii="Arial" w:eastAsiaTheme="minorHAnsi" w:hAnsi="Arial" w:cs="Arial"/>
          <w:szCs w:val="24"/>
          <w:lang w:eastAsia="en-US"/>
        </w:rPr>
      </w:pPr>
    </w:p>
    <w:p w:rsidR="00C229E3" w:rsidRDefault="00C229E3" w:rsidP="00811B9A">
      <w:pPr>
        <w:rPr>
          <w:rFonts w:ascii="Arial" w:eastAsiaTheme="minorHAnsi" w:hAnsi="Arial" w:cs="Arial"/>
          <w:szCs w:val="24"/>
          <w:lang w:eastAsia="en-US"/>
        </w:rPr>
      </w:pPr>
    </w:p>
    <w:p w:rsidR="00C229E3" w:rsidRDefault="00C229E3" w:rsidP="00811B9A">
      <w:pPr>
        <w:rPr>
          <w:rFonts w:ascii="Arial" w:eastAsiaTheme="minorHAnsi" w:hAnsi="Arial" w:cs="Arial"/>
          <w:szCs w:val="24"/>
          <w:lang w:eastAsia="en-US"/>
        </w:rPr>
      </w:pPr>
    </w:p>
    <w:p w:rsidR="00C229E3" w:rsidRDefault="00C229E3" w:rsidP="00811B9A">
      <w:pPr>
        <w:rPr>
          <w:rFonts w:ascii="Arial" w:eastAsiaTheme="minorHAnsi" w:hAnsi="Arial" w:cs="Arial"/>
          <w:szCs w:val="24"/>
          <w:lang w:eastAsia="en-US"/>
        </w:rPr>
      </w:pPr>
    </w:p>
    <w:p w:rsidR="00C229E3" w:rsidRDefault="00C229E3" w:rsidP="00811B9A">
      <w:pPr>
        <w:rPr>
          <w:rFonts w:ascii="Arial" w:eastAsiaTheme="minorHAnsi" w:hAnsi="Arial" w:cs="Arial"/>
          <w:szCs w:val="24"/>
          <w:lang w:eastAsia="en-US"/>
        </w:rPr>
      </w:pPr>
    </w:p>
    <w:p w:rsidR="00C229E3" w:rsidRDefault="00C229E3" w:rsidP="00811B9A">
      <w:pPr>
        <w:rPr>
          <w:rFonts w:ascii="Arial" w:eastAsiaTheme="minorHAnsi" w:hAnsi="Arial" w:cs="Arial"/>
          <w:szCs w:val="24"/>
          <w:lang w:eastAsia="en-US"/>
        </w:rPr>
      </w:pPr>
    </w:p>
    <w:p w:rsidR="00C229E3" w:rsidRDefault="00C229E3" w:rsidP="00811B9A">
      <w:pPr>
        <w:rPr>
          <w:rFonts w:ascii="Arial" w:eastAsiaTheme="minorHAnsi" w:hAnsi="Arial" w:cs="Arial"/>
          <w:szCs w:val="24"/>
          <w:lang w:eastAsia="en-US"/>
        </w:rPr>
      </w:pPr>
    </w:p>
    <w:p w:rsidR="00C229E3" w:rsidRDefault="00C229E3" w:rsidP="00811B9A">
      <w:pPr>
        <w:rPr>
          <w:rFonts w:ascii="Arial" w:eastAsiaTheme="minorHAnsi" w:hAnsi="Arial" w:cs="Arial"/>
          <w:szCs w:val="24"/>
          <w:lang w:eastAsia="en-US"/>
        </w:rPr>
      </w:pPr>
    </w:p>
    <w:p w:rsidR="00C229E3" w:rsidRDefault="00C229E3" w:rsidP="00811B9A">
      <w:pPr>
        <w:rPr>
          <w:rFonts w:ascii="Arial" w:eastAsiaTheme="minorHAnsi" w:hAnsi="Arial" w:cs="Arial"/>
          <w:szCs w:val="24"/>
          <w:lang w:eastAsia="en-US"/>
        </w:rPr>
      </w:pPr>
    </w:p>
    <w:p w:rsidR="00C229E3" w:rsidRDefault="00C229E3" w:rsidP="00811B9A">
      <w:pPr>
        <w:rPr>
          <w:rFonts w:ascii="Arial" w:eastAsiaTheme="minorHAnsi" w:hAnsi="Arial" w:cs="Arial"/>
          <w:szCs w:val="24"/>
          <w:lang w:eastAsia="en-US"/>
        </w:rPr>
      </w:pPr>
    </w:p>
    <w:p w:rsidR="00C229E3" w:rsidRDefault="00C229E3" w:rsidP="00811B9A">
      <w:pPr>
        <w:rPr>
          <w:rFonts w:ascii="Arial" w:eastAsiaTheme="minorHAnsi" w:hAnsi="Arial" w:cs="Arial"/>
          <w:szCs w:val="24"/>
          <w:lang w:eastAsia="en-US"/>
        </w:rPr>
      </w:pPr>
    </w:p>
    <w:p w:rsidR="00C229E3" w:rsidRDefault="00C229E3" w:rsidP="00811B9A">
      <w:pPr>
        <w:rPr>
          <w:rFonts w:ascii="Arial" w:eastAsiaTheme="minorHAnsi" w:hAnsi="Arial" w:cs="Arial"/>
          <w:szCs w:val="24"/>
          <w:lang w:eastAsia="en-US"/>
        </w:rPr>
      </w:pPr>
    </w:p>
    <w:p w:rsidR="00C229E3" w:rsidRDefault="00C229E3" w:rsidP="00811B9A">
      <w:pPr>
        <w:rPr>
          <w:rFonts w:ascii="Arial" w:eastAsiaTheme="minorHAnsi" w:hAnsi="Arial" w:cs="Arial"/>
          <w:szCs w:val="24"/>
          <w:lang w:eastAsia="en-US"/>
        </w:rPr>
      </w:pPr>
    </w:p>
    <w:p w:rsidR="00C229E3" w:rsidRDefault="00C229E3" w:rsidP="00811B9A">
      <w:pPr>
        <w:rPr>
          <w:rFonts w:ascii="Arial" w:eastAsiaTheme="minorHAnsi" w:hAnsi="Arial" w:cs="Arial"/>
          <w:szCs w:val="24"/>
          <w:lang w:eastAsia="en-US"/>
        </w:rPr>
      </w:pPr>
    </w:p>
    <w:p w:rsidR="00C229E3" w:rsidRDefault="00C229E3" w:rsidP="00811B9A">
      <w:pPr>
        <w:rPr>
          <w:rFonts w:ascii="Arial" w:eastAsiaTheme="minorHAnsi" w:hAnsi="Arial" w:cs="Arial"/>
          <w:szCs w:val="24"/>
          <w:lang w:eastAsia="en-US"/>
        </w:rPr>
      </w:pPr>
    </w:p>
    <w:p w:rsidR="00C229E3" w:rsidRDefault="00C229E3" w:rsidP="00811B9A">
      <w:pPr>
        <w:rPr>
          <w:rFonts w:ascii="Arial" w:eastAsiaTheme="minorHAnsi" w:hAnsi="Arial" w:cs="Arial"/>
          <w:szCs w:val="24"/>
          <w:lang w:eastAsia="en-US"/>
        </w:rPr>
      </w:pPr>
    </w:p>
    <w:p w:rsidR="00C229E3" w:rsidRDefault="00C229E3" w:rsidP="00811B9A">
      <w:pPr>
        <w:rPr>
          <w:rFonts w:ascii="Arial" w:eastAsiaTheme="minorHAnsi" w:hAnsi="Arial" w:cs="Arial"/>
          <w:szCs w:val="24"/>
          <w:lang w:eastAsia="en-US"/>
        </w:rPr>
      </w:pPr>
    </w:p>
    <w:p w:rsidR="00C229E3" w:rsidRDefault="00C229E3" w:rsidP="00811B9A">
      <w:pPr>
        <w:rPr>
          <w:rFonts w:ascii="Arial" w:eastAsiaTheme="minorHAnsi" w:hAnsi="Arial" w:cs="Arial"/>
          <w:szCs w:val="24"/>
          <w:lang w:eastAsia="en-US"/>
        </w:rPr>
      </w:pPr>
    </w:p>
    <w:p w:rsidR="00C229E3" w:rsidRPr="00C229E3" w:rsidRDefault="00C229E3" w:rsidP="00C229E3">
      <w:pPr>
        <w:pStyle w:val="Listenabsatz"/>
        <w:numPr>
          <w:ilvl w:val="0"/>
          <w:numId w:val="1"/>
        </w:numPr>
        <w:spacing w:after="0" w:line="276" w:lineRule="auto"/>
        <w:jc w:val="both"/>
        <w:rPr>
          <w:rFonts w:ascii="Arial" w:hAnsi="Arial" w:cs="Arial"/>
          <w:sz w:val="24"/>
          <w:szCs w:val="24"/>
        </w:rPr>
      </w:pPr>
      <w:r w:rsidRPr="00C229E3">
        <w:rPr>
          <w:rFonts w:ascii="Arial" w:hAnsi="Arial" w:cs="Arial"/>
          <w:sz w:val="24"/>
          <w:szCs w:val="24"/>
        </w:rPr>
        <w:t>Die vorstehende Haushaltssatzung wird hiermit öffentlich bekanntgemacht. Die Gesetzmäßigkeit der Haushaltssatzung der Gemeinde Kanzach für das Haushaltsjahr 2023 gemäß § 121 der Gemeindeordnung für Baden-Württemberg (GemO) wurde durch das Kommunalamt beim Landratsamt Biberach mit Erlass vom 05.04.2023 bestätigt. Es wurde festgestellt, dass die Haushaltssatzung der Gemeinde Kanzach für das Haushaltsjahr 2023 keine genehmigungspflichtigen Teile enthält.</w:t>
      </w:r>
    </w:p>
    <w:p w:rsidR="00C229E3" w:rsidRPr="00C229E3" w:rsidRDefault="00C229E3" w:rsidP="00C229E3">
      <w:pPr>
        <w:spacing w:line="276" w:lineRule="auto"/>
        <w:jc w:val="both"/>
        <w:rPr>
          <w:rFonts w:ascii="Arial" w:hAnsi="Arial" w:cs="Arial"/>
          <w:szCs w:val="24"/>
        </w:rPr>
      </w:pPr>
    </w:p>
    <w:p w:rsidR="00C229E3" w:rsidRPr="00C229E3" w:rsidRDefault="00C229E3" w:rsidP="00C229E3">
      <w:pPr>
        <w:pStyle w:val="Listenabsatz"/>
        <w:numPr>
          <w:ilvl w:val="0"/>
          <w:numId w:val="1"/>
        </w:numPr>
        <w:spacing w:line="276" w:lineRule="auto"/>
        <w:rPr>
          <w:rFonts w:ascii="Arial" w:hAnsi="Arial" w:cs="Arial"/>
          <w:sz w:val="24"/>
          <w:szCs w:val="24"/>
        </w:rPr>
      </w:pPr>
      <w:r w:rsidRPr="00C229E3">
        <w:rPr>
          <w:rFonts w:ascii="Arial" w:hAnsi="Arial" w:cs="Arial"/>
          <w:sz w:val="24"/>
          <w:szCs w:val="24"/>
        </w:rPr>
        <w:t>Eine etwaige Verletzung von Verfahrens- und Formvorschriften der Gemeindeordnung für Baden-Württemberg (GemO) oder aufgrund der Gemeindeordnung erlassenen Verfahrensvorschriften beim Zustandekommen dieser Satzung ist nach § 4 Absatz 4 GemO unbeachtlich, wenn sie nicht schriftlich oder elektronisch innerhalb eines Jahres seit der Bekanntmachung dieser Satzung gegenüber der Gemeinde Kanzach geltend gemacht worden ist; der Sachverhalt, der die Verletzung begründen soll, ist zu bezeichnen.  Dies gilt nicht, wenn die Vorschriften über die Öffentlichkeit der Sitzung, die Genehmigung oder die Bekanntmachung der Satzung verletzt worden sind.</w:t>
      </w:r>
    </w:p>
    <w:p w:rsidR="00C229E3" w:rsidRPr="00C229E3" w:rsidRDefault="00C229E3" w:rsidP="00C229E3">
      <w:pPr>
        <w:pStyle w:val="Listenabsatz"/>
        <w:rPr>
          <w:rFonts w:ascii="Arial" w:hAnsi="Arial" w:cs="Arial"/>
          <w:sz w:val="24"/>
          <w:szCs w:val="24"/>
        </w:rPr>
      </w:pPr>
    </w:p>
    <w:p w:rsidR="00C229E3" w:rsidRDefault="00C229E3" w:rsidP="00C229E3">
      <w:pPr>
        <w:pStyle w:val="Listenabsatz"/>
        <w:numPr>
          <w:ilvl w:val="0"/>
          <w:numId w:val="1"/>
        </w:numPr>
        <w:spacing w:line="276" w:lineRule="auto"/>
        <w:rPr>
          <w:rFonts w:ascii="Arial" w:hAnsi="Arial" w:cs="Arial"/>
          <w:sz w:val="24"/>
          <w:szCs w:val="24"/>
        </w:rPr>
      </w:pPr>
      <w:r w:rsidRPr="00C229E3">
        <w:rPr>
          <w:rFonts w:ascii="Arial" w:hAnsi="Arial" w:cs="Arial"/>
          <w:sz w:val="24"/>
          <w:szCs w:val="24"/>
        </w:rPr>
        <w:t>Der Haushaltsplan liegt gem. § 81 Abs. 3 GemO an sieben Tagen - je einschließlich - auf dem Rathaus während der üblichen Dienststunden öffentlich zur Einsicht aus, und zwar in der Zeit vom 27.04.2023 bis 10.05.2023.</w:t>
      </w:r>
    </w:p>
    <w:p w:rsidR="00C229E3" w:rsidRPr="00C229E3" w:rsidRDefault="00C229E3" w:rsidP="00C229E3">
      <w:pPr>
        <w:pStyle w:val="Listenabsatz"/>
        <w:rPr>
          <w:rFonts w:ascii="Arial" w:hAnsi="Arial" w:cs="Arial"/>
          <w:sz w:val="24"/>
          <w:szCs w:val="24"/>
        </w:rPr>
      </w:pPr>
    </w:p>
    <w:p w:rsidR="00C229E3" w:rsidRDefault="00C229E3" w:rsidP="00C229E3">
      <w:pPr>
        <w:pStyle w:val="Listenabsatz"/>
        <w:numPr>
          <w:ilvl w:val="0"/>
          <w:numId w:val="1"/>
        </w:numPr>
        <w:spacing w:line="276" w:lineRule="auto"/>
        <w:rPr>
          <w:rFonts w:ascii="Arial" w:hAnsi="Arial" w:cs="Arial"/>
          <w:sz w:val="24"/>
          <w:szCs w:val="24"/>
        </w:rPr>
      </w:pPr>
      <w:r>
        <w:rPr>
          <w:rFonts w:ascii="Arial" w:hAnsi="Arial" w:cs="Arial"/>
          <w:sz w:val="24"/>
          <w:szCs w:val="24"/>
        </w:rPr>
        <w:t xml:space="preserve">Auf </w:t>
      </w:r>
      <w:r w:rsidRPr="00C229E3">
        <w:rPr>
          <w:rFonts w:ascii="Arial" w:hAnsi="Arial" w:cs="Arial"/>
          <w:sz w:val="24"/>
          <w:szCs w:val="24"/>
        </w:rPr>
        <w:t>den Anschlag an der Verkündungstafel des Rathauses wird hingewiesen.</w:t>
      </w:r>
    </w:p>
    <w:p w:rsidR="00C229E3" w:rsidRPr="00C229E3" w:rsidRDefault="00C229E3" w:rsidP="00C229E3">
      <w:pPr>
        <w:pStyle w:val="Listenabsatz"/>
        <w:rPr>
          <w:rFonts w:ascii="Arial" w:hAnsi="Arial" w:cs="Arial"/>
          <w:sz w:val="24"/>
          <w:szCs w:val="24"/>
        </w:rPr>
      </w:pPr>
    </w:p>
    <w:p w:rsidR="00C229E3" w:rsidRPr="00C229E3" w:rsidRDefault="00C229E3" w:rsidP="00C229E3">
      <w:pPr>
        <w:spacing w:line="276" w:lineRule="auto"/>
        <w:rPr>
          <w:rFonts w:ascii="Arial" w:hAnsi="Arial" w:cs="Arial"/>
          <w:szCs w:val="24"/>
        </w:rPr>
      </w:pPr>
    </w:p>
    <w:p w:rsidR="00C229E3" w:rsidRPr="00C229E3" w:rsidRDefault="00C229E3" w:rsidP="00C229E3">
      <w:pPr>
        <w:spacing w:line="276" w:lineRule="auto"/>
        <w:rPr>
          <w:rFonts w:ascii="Arial" w:hAnsi="Arial" w:cs="Arial"/>
          <w:szCs w:val="24"/>
        </w:rPr>
      </w:pPr>
      <w:r w:rsidRPr="00C229E3">
        <w:rPr>
          <w:rFonts w:ascii="Arial" w:hAnsi="Arial" w:cs="Arial"/>
          <w:szCs w:val="24"/>
        </w:rPr>
        <w:t>Kanzach, den 27.04.2023</w:t>
      </w:r>
    </w:p>
    <w:p w:rsidR="00C229E3" w:rsidRPr="00C229E3" w:rsidRDefault="00C229E3" w:rsidP="00C229E3">
      <w:pPr>
        <w:spacing w:line="276" w:lineRule="auto"/>
        <w:rPr>
          <w:rFonts w:ascii="Arial" w:hAnsi="Arial" w:cs="Arial"/>
          <w:szCs w:val="24"/>
        </w:rPr>
      </w:pPr>
      <w:r>
        <w:rPr>
          <w:rFonts w:ascii="Arial" w:hAnsi="Arial" w:cs="Arial"/>
          <w:szCs w:val="24"/>
        </w:rPr>
        <w:t>g</w:t>
      </w:r>
      <w:r w:rsidRPr="00C229E3">
        <w:rPr>
          <w:rFonts w:ascii="Arial" w:hAnsi="Arial" w:cs="Arial"/>
          <w:szCs w:val="24"/>
        </w:rPr>
        <w:t>ez. Schultheiß, Bürgermeister</w:t>
      </w:r>
    </w:p>
    <w:p w:rsidR="00C229E3" w:rsidRDefault="00C229E3" w:rsidP="00811B9A">
      <w:pPr>
        <w:rPr>
          <w:rFonts w:ascii="Arial" w:eastAsiaTheme="minorHAnsi" w:hAnsi="Arial" w:cs="Arial"/>
          <w:szCs w:val="24"/>
          <w:lang w:eastAsia="en-US"/>
        </w:rPr>
      </w:pPr>
    </w:p>
    <w:p w:rsidR="00C229E3" w:rsidRDefault="00C229E3" w:rsidP="00811B9A">
      <w:pPr>
        <w:rPr>
          <w:rFonts w:ascii="Arial" w:eastAsiaTheme="minorHAnsi" w:hAnsi="Arial" w:cs="Arial"/>
          <w:szCs w:val="24"/>
          <w:lang w:eastAsia="en-US"/>
        </w:rPr>
      </w:pPr>
    </w:p>
    <w:p w:rsidR="00811B9A" w:rsidRDefault="00811B9A" w:rsidP="00811B9A">
      <w:pPr>
        <w:rPr>
          <w:rFonts w:ascii="Arial" w:eastAsiaTheme="minorHAnsi" w:hAnsi="Arial" w:cs="Arial"/>
          <w:szCs w:val="24"/>
          <w:lang w:eastAsia="en-US"/>
        </w:rPr>
      </w:pPr>
    </w:p>
    <w:p w:rsidR="00FB4315" w:rsidRDefault="00FB4315"/>
    <w:sectPr w:rsidR="00FB431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B6037E"/>
    <w:multiLevelType w:val="hybridMultilevel"/>
    <w:tmpl w:val="D062F7E0"/>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B9A"/>
    <w:rsid w:val="00811B9A"/>
    <w:rsid w:val="00C229E3"/>
    <w:rsid w:val="00C45978"/>
    <w:rsid w:val="00FB43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CEB4B1-57A3-4F20-9511-1002D9D48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11B9A"/>
    <w:pPr>
      <w:spacing w:after="0" w:line="240" w:lineRule="auto"/>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raster1">
    <w:name w:val="Tabellenraster1"/>
    <w:basedOn w:val="NormaleTabelle"/>
    <w:next w:val="Tabellenraster"/>
    <w:uiPriority w:val="39"/>
    <w:rsid w:val="00811B9A"/>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qFormat/>
    <w:rsid w:val="00811B9A"/>
    <w:rPr>
      <w:b/>
      <w:bCs/>
    </w:rPr>
  </w:style>
  <w:style w:type="table" w:styleId="Tabellenraster">
    <w:name w:val="Table Grid"/>
    <w:basedOn w:val="NormaleTabelle"/>
    <w:uiPriority w:val="39"/>
    <w:rsid w:val="00811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C229E3"/>
    <w:pPr>
      <w:spacing w:after="180"/>
      <w:ind w:left="720" w:hanging="288"/>
      <w:contextualSpacing/>
    </w:pPr>
    <w:rPr>
      <w:rFonts w:ascii="Calibri" w:eastAsia="Calibri" w:hAnsi="Calibri"/>
      <w:color w:val="30303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3760</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Stadt Bad Buchau am Federsee</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Schultheiß, Klaus</dc:creator>
  <cp:keywords/>
  <dc:description/>
  <cp:lastModifiedBy>Hammer, Monika</cp:lastModifiedBy>
  <cp:revision>2</cp:revision>
  <dcterms:created xsi:type="dcterms:W3CDTF">2023-04-25T07:25:00Z</dcterms:created>
  <dcterms:modified xsi:type="dcterms:W3CDTF">2023-04-25T07:25:00Z</dcterms:modified>
</cp:coreProperties>
</file>